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A2B4C"/>
          <w:sz w:val="72"/>
          <w:szCs w:val="72"/>
        </w:rPr>
        <w:t xml:space="preserve">CERTIVO</w:t>
      </w:r>
    </w:p>
    <w:p>
      <w:pPr>
        <w:spacing w:after="200" w:before="200"/>
        <w:jc w:val="center"/>
      </w:pPr>
      <w:r>
        <w:rPr>
          <w:i/>
          <w:iCs/>
          <w:color w:val="2E5EAA"/>
          <w:sz w:val="26"/>
          <w:szCs w:val="26"/>
        </w:rPr>
        <w:t xml:space="preserve">Trust Infrastructure for the Age of Artificial Intelligence</w:t>
      </w:r>
    </w:p>
    <w:p>
      <w:pPr>
        <w:spacing w:before="800"/>
        <w:jc w:val="center"/>
      </w:pPr>
      <w:r>
        <w:rPr>
          <w:b/>
          <w:bCs/>
          <w:color w:val="6B7280"/>
          <w:sz w:val="32"/>
          <w:szCs w:val="32"/>
        </w:rPr>
        <w:t xml:space="preserve">SECURITY ARCHITECTURE</w:t>
      </w:r>
    </w:p>
    <w:p>
      <w:pPr>
        <w:spacing w:before="200"/>
        <w:jc w:val="center"/>
      </w:pPr>
      <w:r>
        <w:rPr>
          <w:color w:val="6B7280"/>
          <w:sz w:val="20"/>
          <w:szCs w:val="20"/>
        </w:rPr>
        <w:t xml:space="preserve">Document 9 of 18 — Phase 4: Security — Version 2.0</w:t>
      </w:r>
    </w:p>
    <w:p>
      <w:pPr>
        <w:spacing w:before="100"/>
        <w:jc w:val="center"/>
      </w:pPr>
      <w:r>
        <w:rPr>
          <w:color w:val="6B7280"/>
          <w:sz w:val="18"/>
          <w:szCs w:val="18"/>
        </w:rPr>
        <w:t xml:space="preserve">Version 1.0  |  Confidential  |  Internal Use</w:t>
      </w:r>
    </w:p>
    <w:p>
      <w:r>
        <w:br w:type="page"/>
      </w:r>
    </w:p>
    <w:p>
      <w:pPr>
        <w:pStyle w:val="Heading1"/>
        <w:spacing w:after="240" w:before="480"/>
      </w:pPr>
      <w:r>
        <w:rPr>
          <w:b/>
          <w:bCs/>
          <w:color w:val="1A2B4C"/>
          <w:sz w:val="32"/>
          <w:szCs w:val="32"/>
        </w:rPr>
        <w:t xml:space="preserve">Revision Note (Version 2.0)</w:t>
      </w:r>
    </w:p>
    <w:p>
      <w:pPr>
        <w:spacing w:after="200" w:line="300"/>
        <w:jc w:val="both"/>
      </w:pPr>
      <w:r>
        <w:rPr>
          <w:sz w:val="21"/>
          <w:szCs w:val="21"/>
        </w:rPr>
        <w:t xml:space="preserve">This document supersedes Version 1.0. It gives full formal treatment to the untrusted-client threat model the Technical Requirements Document v2.0 (Section 9) introduced at a summary level, adds hardware attestation and device-held key management as new security controls, and extends incident response and audit logging for the Trusted Device Layer. Version 1.0's encryption, authentication/authorization, OWASP mapping, and audit logging sections remain the baseline; this document adds to them rather than replacing them.</w:t>
      </w:r>
    </w:p>
    <w:p>
      <w:pPr>
        <w:pStyle w:val="Heading1"/>
        <w:pageBreakBefore/>
        <w:spacing w:after="240" w:before="480"/>
      </w:pPr>
      <w:r>
        <w:rPr>
          <w:b/>
          <w:bCs/>
          <w:color w:val="1A2B4C"/>
          <w:sz w:val="32"/>
          <w:szCs w:val="32"/>
        </w:rPr>
        <w:t xml:space="preserve">1. The Untrusted Client: Full Threat Model</w:t>
      </w:r>
    </w:p>
    <w:p>
      <w:pPr>
        <w:spacing w:after="200" w:line="300"/>
        <w:jc w:val="both"/>
      </w:pPr>
      <w:r>
        <w:rPr>
          <w:sz w:val="21"/>
          <w:szCs w:val="21"/>
        </w:rPr>
        <w:t xml:space="preserve">Version 1.0's threat model (Document 9, Section 1) was built around threats to infrastructure Certivo itself operates and controls. The flagship's edge-inference architecture (Technical Requirements Document, Section 2) introduces a fundamentally different threat surface: the device running inference is owned and controlled by an end user, not by Certivo or even by the integrating partner. This section treats that threat surface with the same rigor Version 1.0 applied to Certivo's own infrastructure.</w:t>
      </w:r>
    </w:p>
    <w:p>
      <w:pPr>
        <w:pStyle w:val="Heading2"/>
        <w:spacing w:after="180" w:before="360"/>
      </w:pPr>
      <w:r>
        <w:rPr>
          <w:b/>
          <w:bCs/>
          <w:color w:val="2E5EAA"/>
          <w:sz w:val="26"/>
          <w:szCs w:val="26"/>
        </w:rPr>
        <w:t xml:space="preserve">1.1 What changes when inference runs on an untrusted device</w:t>
      </w:r>
    </w:p>
    <w:p>
      <w:pPr>
        <w:spacing w:after="200" w:line="300"/>
        <w:jc w:val="both"/>
      </w:pPr>
      <w:r>
        <w:rPr>
          <w:sz w:val="21"/>
          <w:szCs w:val="21"/>
        </w:rPr>
        <w:t xml:space="preserve">In Version 1.0's model, the ML Inference Service's integrity was guaranteed by Certivo's own infrastructure controls (Version 1.0, Sections 3, 6). In the edge model, the equivalent guarantee does not exist by default — a sufficiently motivated attacker with control of their own device can, in principle, tamper with the SDK binary, intercept and modify its inputs or outputs, or replace it with a modified client that fabricates favorable scores. This is not a gap to be closed entirely (it cannot be, for the same reason DRM and anti-cheat systems face a fundamentally asymmetric battle against a determined, resourced attacker with physical device access) but a risk to be bounded, detected, and factored into policy decisions rather than assumed away.</w:t>
      </w:r>
    </w:p>
    <w:p>
      <w:pPr>
        <w:pStyle w:val="Heading2"/>
        <w:spacing w:after="180" w:before="360"/>
      </w:pPr>
      <w:r>
        <w:rPr>
          <w:b/>
          <w:bCs/>
          <w:color w:val="2E5EAA"/>
          <w:sz w:val="26"/>
          <w:szCs w:val="26"/>
        </w:rPr>
        <w:t xml:space="preserve">1.2 Threat actors specific to the untrusted client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3000"/>
      </w:tblGrid>
      <w:tr>
        <w:trPr>
          <w:tblHeader/>
        </w:trPr>
        <w:tc>
          <w:tcPr>
            <w:tcW w:type="dxa" w:w="3000"/>
            <w:shd w:fill="1A2B4C" w:val="clear"/>
            <w:tcMar>
              <w:top w:type="dxa" w:w="100"/>
              <w:left w:type="dxa" w:w="140"/>
              <w:bottom w:type="dxa" w:w="100"/>
              <w:right w:type="dxa" w:w="140"/>
            </w:tcMar>
          </w:tcPr>
          <w:p>
            <w:r>
              <w:rPr>
                <w:b/>
                <w:bCs/>
                <w:color w:val="FFFFFF"/>
                <w:sz w:val="19"/>
                <w:szCs w:val="19"/>
              </w:rPr>
              <w:t xml:space="preserve">Threat actor</w:t>
            </w:r>
          </w:p>
        </w:tc>
        <w:tc>
          <w:tcPr>
            <w:tcW w:type="dxa" w:w="3600"/>
            <w:shd w:fill="1A2B4C" w:val="clear"/>
            <w:tcMar>
              <w:top w:type="dxa" w:w="100"/>
              <w:left w:type="dxa" w:w="140"/>
              <w:bottom w:type="dxa" w:w="100"/>
              <w:right w:type="dxa" w:w="140"/>
            </w:tcMar>
          </w:tcPr>
          <w:p>
            <w:r>
              <w:rPr>
                <w:b/>
                <w:bCs/>
                <w:color w:val="FFFFFF"/>
                <w:sz w:val="19"/>
                <w:szCs w:val="19"/>
              </w:rPr>
              <w:t xml:space="preserve">Motivation</w:t>
            </w:r>
          </w:p>
        </w:tc>
        <w:tc>
          <w:tcPr>
            <w:tcW w:type="dxa" w:w="3000"/>
            <w:shd w:fill="1A2B4C" w:val="clear"/>
            <w:tcMar>
              <w:top w:type="dxa" w:w="100"/>
              <w:left w:type="dxa" w:w="140"/>
              <w:bottom w:type="dxa" w:w="100"/>
              <w:right w:type="dxa" w:w="140"/>
            </w:tcMar>
          </w:tcPr>
          <w:p>
            <w:r>
              <w:rPr>
                <w:b/>
                <w:bCs/>
                <w:color w:val="FFFFFF"/>
                <w:sz w:val="19"/>
                <w:szCs w:val="19"/>
              </w:rPr>
              <w:t xml:space="preserve">Attack surface</w:t>
            </w:r>
          </w:p>
        </w:tc>
      </w:tr>
      <w:tr>
        <w:tc>
          <w:tcPr>
            <w:tcW w:type="dxa" w:w="3000"/>
            <w:shd w:fill="F4F6F9" w:val="clear"/>
            <w:tcMar>
              <w:top w:type="dxa" w:w="100"/>
              <w:left w:type="dxa" w:w="140"/>
              <w:bottom w:type="dxa" w:w="100"/>
              <w:right w:type="dxa" w:w="140"/>
            </w:tcMar>
          </w:tcPr>
          <w:p>
            <w:r>
              <w:rPr>
                <w:sz w:val="19"/>
                <w:szCs w:val="19"/>
              </w:rPr>
              <w:t xml:space="preserve">Individual attempting to bypass their own verification</w:t>
            </w:r>
          </w:p>
        </w:tc>
        <w:tc>
          <w:tcPr>
            <w:tcW w:type="dxa" w:w="3600"/>
            <w:shd w:fill="F4F6F9" w:val="clear"/>
            <w:tcMar>
              <w:top w:type="dxa" w:w="100"/>
              <w:left w:type="dxa" w:w="140"/>
              <w:bottom w:type="dxa" w:w="100"/>
              <w:right w:type="dxa" w:w="140"/>
            </w:tcMar>
          </w:tcPr>
          <w:p>
            <w:r>
              <w:rPr>
                <w:sz w:val="19"/>
                <w:szCs w:val="19"/>
              </w:rPr>
              <w:t xml:space="preserve">Pass a liveness/synthetic-media check while using a spoofing tool, a modified SDK, or a rooted/jailbroken device with instrumentation frameworks installed</w:t>
            </w:r>
          </w:p>
        </w:tc>
        <w:tc>
          <w:tcPr>
            <w:tcW w:type="dxa" w:w="3000"/>
            <w:shd w:fill="F4F6F9" w:val="clear"/>
            <w:tcMar>
              <w:top w:type="dxa" w:w="100"/>
              <w:left w:type="dxa" w:w="140"/>
              <w:bottom w:type="dxa" w:w="100"/>
              <w:right w:type="dxa" w:w="140"/>
            </w:tcMar>
          </w:tcPr>
          <w:p>
            <w:r>
              <w:rPr>
                <w:sz w:val="19"/>
                <w:szCs w:val="19"/>
              </w:rPr>
              <w:t xml:space="preserve">The SDK binary itself, the local capture hook, the score-signing step</w:t>
            </w:r>
          </w:p>
        </w:tc>
      </w:tr>
      <w:tr>
        <w:tc>
          <w:tcPr>
            <w:tcW w:type="dxa" w:w="3000"/>
            <w:shd w:fill="FFFFFF" w:val="clear"/>
            <w:tcMar>
              <w:top w:type="dxa" w:w="100"/>
              <w:left w:type="dxa" w:w="140"/>
              <w:bottom w:type="dxa" w:w="100"/>
              <w:right w:type="dxa" w:w="140"/>
            </w:tcMar>
          </w:tcPr>
          <w:p>
            <w:r>
              <w:rPr>
                <w:sz w:val="19"/>
                <w:szCs w:val="19"/>
              </w:rPr>
              <w:t xml:space="preserve">Organized attack tooling distributed to many users</w:t>
            </w:r>
          </w:p>
        </w:tc>
        <w:tc>
          <w:tcPr>
            <w:tcW w:type="dxa" w:w="3600"/>
            <w:shd w:fill="FFFFFF" w:val="clear"/>
            <w:tcMar>
              <w:top w:type="dxa" w:w="100"/>
              <w:left w:type="dxa" w:w="140"/>
              <w:bottom w:type="dxa" w:w="100"/>
              <w:right w:type="dxa" w:w="140"/>
            </w:tcMar>
          </w:tcPr>
          <w:p>
            <w:r>
              <w:rPr>
                <w:sz w:val="19"/>
                <w:szCs w:val="19"/>
              </w:rPr>
              <w:t xml:space="preserve">Package and distribute a working bypass (e.g. a modified SDK APK, or an automation framework producing fabricated scores) at scale, across many devices</w:t>
            </w:r>
          </w:p>
        </w:tc>
        <w:tc>
          <w:tcPr>
            <w:tcW w:type="dxa" w:w="3000"/>
            <w:shd w:fill="FFFFFF" w:val="clear"/>
            <w:tcMar>
              <w:top w:type="dxa" w:w="100"/>
              <w:left w:type="dxa" w:w="140"/>
              <w:bottom w:type="dxa" w:w="100"/>
              <w:right w:type="dxa" w:w="140"/>
            </w:tcMar>
          </w:tcPr>
          <w:p>
            <w:r>
              <w:rPr>
                <w:sz w:val="19"/>
                <w:szCs w:val="19"/>
              </w:rPr>
              <w:t xml:space="preserve">Same as above, but the risk compounds if a single working bypass is shared widely rather than independently discovered by each attacker</w:t>
            </w:r>
          </w:p>
        </w:tc>
      </w:tr>
      <w:tr>
        <w:tc>
          <w:tcPr>
            <w:tcW w:type="dxa" w:w="3000"/>
            <w:shd w:fill="F4F6F9" w:val="clear"/>
            <w:tcMar>
              <w:top w:type="dxa" w:w="100"/>
              <w:left w:type="dxa" w:w="140"/>
              <w:bottom w:type="dxa" w:w="100"/>
              <w:right w:type="dxa" w:w="140"/>
            </w:tcMar>
          </w:tcPr>
          <w:p>
            <w:r>
              <w:rPr>
                <w:sz w:val="19"/>
                <w:szCs w:val="19"/>
              </w:rPr>
              <w:t xml:space="preserve">A user's device itself compromised by unrelated malware</w:t>
            </w:r>
          </w:p>
        </w:tc>
        <w:tc>
          <w:tcPr>
            <w:tcW w:type="dxa" w:w="3600"/>
            <w:shd w:fill="F4F6F9" w:val="clear"/>
            <w:tcMar>
              <w:top w:type="dxa" w:w="100"/>
              <w:left w:type="dxa" w:w="140"/>
              <w:bottom w:type="dxa" w:w="100"/>
              <w:right w:type="dxa" w:w="140"/>
            </w:tcMar>
          </w:tcPr>
          <w:p>
            <w:r>
              <w:rPr>
                <w:sz w:val="19"/>
                <w:szCs w:val="19"/>
              </w:rPr>
              <w:t xml:space="preserve">Not targeting Certivo specifically, but a compromised OS could tamper with any app's behavior, including a legitimate SDK installation</w:t>
            </w:r>
          </w:p>
        </w:tc>
        <w:tc>
          <w:tcPr>
            <w:tcW w:type="dxa" w:w="3000"/>
            <w:shd w:fill="F4F6F9" w:val="clear"/>
            <w:tcMar>
              <w:top w:type="dxa" w:w="100"/>
              <w:left w:type="dxa" w:w="140"/>
              <w:bottom w:type="dxa" w:w="100"/>
              <w:right w:type="dxa" w:w="140"/>
            </w:tcMar>
          </w:tcPr>
          <w:p>
            <w:r>
              <w:rPr>
                <w:sz w:val="19"/>
                <w:szCs w:val="19"/>
              </w:rPr>
              <w:t xml:space="preserve">Device-level compromise below the SDK's own control, mitigated primarily by hardware attestation (Section 3) rather than SDK-level defenses alone</w:t>
            </w:r>
          </w:p>
        </w:tc>
      </w:tr>
    </w:tbl>
    <w:p>
      <w:pPr>
        <w:spacing w:after="260" w:before="80"/>
      </w:pPr>
      <w:r>
        <w:rPr>
          <w:i/>
          <w:iCs/>
          <w:color w:val="6B7280"/>
          <w:sz w:val="18"/>
          <w:szCs w:val="18"/>
        </w:rPr>
        <w:t xml:space="preserve">Table 1.1 — Threat actors specific to the untrusted-client surface.</w:t>
      </w:r>
    </w:p>
    <w:p>
      <w:pPr>
        <w:pStyle w:val="Heading2"/>
        <w:spacing w:after="180" w:before="360"/>
      </w:pPr>
      <w:r>
        <w:rPr>
          <w:b/>
          <w:bCs/>
          <w:color w:val="2E5EAA"/>
          <w:sz w:val="26"/>
          <w:szCs w:val="26"/>
        </w:rPr>
        <w:t xml:space="preserve">1.3 Layered mitigation strategy</w:t>
      </w:r>
    </w:p>
    <w:p>
      <w:pPr>
        <w:spacing w:after="200" w:line="300"/>
        <w:jc w:val="both"/>
      </w:pPr>
      <w:r>
        <w:rPr>
          <w:sz w:val="21"/>
          <w:szCs w:val="21"/>
        </w:rPr>
        <w:t xml:space="preserve">No single control fully closes this threat surface; the mitigation is deliberately layered, consistent with the defense-in-depth approach already established in Version 1.0 (Document 9, Section 5.3).</w:t>
      </w:r>
    </w:p>
    <w:p>
      <w:pPr>
        <w:pStyle w:val="ListParagraph"/>
        <w:numPr>
          <w:ilvl w:val="0"/>
          <w:numId w:val="2"/>
        </w:numPr>
        <w:spacing w:after="100" w:line="280"/>
      </w:pPr>
      <w:r>
        <w:rPr>
          <w:sz w:val="21"/>
          <w:szCs w:val="21"/>
        </w:rPr>
        <w:t xml:space="preserve">Device-specific signing keys (Section 4 below), so a compromised or extracted key's blast radius is limited to one device, not every installation of the SDK.</w:t>
      </w:r>
    </w:p>
    <w:p>
      <w:pPr>
        <w:pStyle w:val="ListParagraph"/>
        <w:numPr>
          <w:ilvl w:val="0"/>
          <w:numId w:val="2"/>
        </w:numPr>
        <w:spacing w:after="100" w:line="280"/>
      </w:pPr>
      <w:r>
        <w:rPr>
          <w:sz w:val="21"/>
          <w:szCs w:val="21"/>
        </w:rPr>
        <w:t xml:space="preserve">Hardware attestation (Section 3), raising the cost of tampering for devices that support it, and producing an explicit, lower trust tier for devices where it isn't available or has failed (Technical Requirements Document, Table 8.1) rather than treating all devices as equally trustworthy.</w:t>
      </w:r>
    </w:p>
    <w:p>
      <w:pPr>
        <w:pStyle w:val="ListParagraph"/>
        <w:numPr>
          <w:ilvl w:val="0"/>
          <w:numId w:val="2"/>
        </w:numPr>
        <w:spacing w:after="100" w:line="280"/>
      </w:pPr>
      <w:r>
        <w:rPr>
          <w:sz w:val="21"/>
          <w:szCs w:val="21"/>
        </w:rPr>
        <w:t xml:space="preserve">Anomaly detection on implausible score patterns (Technical Requirements Document, Section 9.4) — a statistical backstop that doesn't depend on catching every individual tampering technique, only on the resulting score pattern looking different from genuine behavior at scale.</w:t>
      </w:r>
    </w:p>
    <w:p>
      <w:pPr>
        <w:pStyle w:val="ListParagraph"/>
        <w:numPr>
          <w:ilvl w:val="0"/>
          <w:numId w:val="2"/>
        </w:numPr>
        <w:spacing w:after="100" w:line="280"/>
      </w:pPr>
      <w:r>
        <w:rPr>
          <w:sz w:val="21"/>
          <w:szCs w:val="21"/>
        </w:rPr>
        <w:t xml:space="preserve">Policy-layer weighting by trust tier (Technical Requirements Document, Section 8.1) — a partner platform can configure stricter requirements (e.g. requiring Tier 1 hardware attestation) for its highest-risk flows, accepting that Tier 3 software-only assurance is real but weaker, rather than treating every device's score as equally authoritative input to an irreversible decision.</w:t>
      </w:r>
    </w:p>
    <w:p>
      <w:pPr>
        <w:pStyle w:val="ListParagraph"/>
        <w:numPr>
          <w:ilvl w:val="0"/>
          <w:numId w:val="2"/>
        </w:numPr>
        <w:spacing w:after="100" w:line="280"/>
      </w:pPr>
      <w:r>
        <w:rPr>
          <w:sz w:val="21"/>
          <w:szCs w:val="21"/>
        </w:rPr>
        <w:t xml:space="preserve">Anti-tampering measures within the SDK itself (basic root/jailbreak and instrumentation-framework detection), understood explicitly as a raise-the-bar measure rather than a guarantee, consistent with the same honest framing Version 1.0 already applied to the Device Trust Service's anti-tampering posture (Document 9, Section 6.2).</w:t>
      </w:r>
    </w:p>
    <w:p>
      <w:pPr>
        <w:pStyle w:val="Heading1"/>
        <w:pageBreakBefore/>
        <w:spacing w:after="240" w:before="480"/>
      </w:pPr>
      <w:r>
        <w:rPr>
          <w:b/>
          <w:bCs/>
          <w:color w:val="1A2B4C"/>
          <w:sz w:val="32"/>
          <w:szCs w:val="32"/>
        </w:rPr>
        <w:t xml:space="preserve">3. Hardware Attestation</w:t>
      </w:r>
    </w:p>
    <w:p>
      <w:pPr>
        <w:spacing w:after="200" w:line="300"/>
        <w:jc w:val="both"/>
      </w:pPr>
      <w:r>
        <w:rPr>
          <w:sz w:val="21"/>
          <w:szCs w:val="21"/>
        </w:rPr>
        <w:t xml:space="preserve">This section specifies the security properties of the three attestation mechanisms named in the Technical Requirements Document (Section 3.2) and used by the Trusted Device Layer (Section 8).</w:t>
      </w:r>
    </w:p>
    <w:p>
      <w:pPr>
        <w:pStyle w:val="Heading2"/>
        <w:spacing w:after="180" w:before="360"/>
      </w:pPr>
      <w:r>
        <w:rPr>
          <w:b/>
          <w:bCs/>
          <w:color w:val="2E5EAA"/>
          <w:sz w:val="26"/>
          <w:szCs w:val="26"/>
        </w:rPr>
        <w:t xml:space="preserve">3.1 Apple App Attest / DeviceCheck</w:t>
      </w:r>
    </w:p>
    <w:p>
      <w:pPr>
        <w:spacing w:after="200" w:line="300"/>
        <w:jc w:val="both"/>
      </w:pPr>
      <w:r>
        <w:rPr>
          <w:sz w:val="21"/>
          <w:szCs w:val="21"/>
        </w:rPr>
        <w:t xml:space="preserve">Provides a hardware-backed assertion, rooted in the device's Secure Enclave, that a request genuinely originates from a specific, legitimate installation of a specific app on genuine Apple hardware. Certivo validates the attestation against Apple's published attestation root of trust before treating it as valid — never accepting a client-asserted attestation result without independent validation against the vendor's own verification service or published root certificates.</w:t>
      </w:r>
    </w:p>
    <w:p>
      <w:pPr>
        <w:pStyle w:val="Heading2"/>
        <w:spacing w:after="180" w:before="360"/>
      </w:pPr>
      <w:r>
        <w:rPr>
          <w:b/>
          <w:bCs/>
          <w:color w:val="2E5EAA"/>
          <w:sz w:val="26"/>
          <w:szCs w:val="26"/>
        </w:rPr>
        <w:t xml:space="preserve">3.2 Android Play Integrity API</w:t>
      </w:r>
    </w:p>
    <w:p>
      <w:pPr>
        <w:spacing w:after="200" w:line="300"/>
        <w:jc w:val="both"/>
      </w:pPr>
      <w:r>
        <w:rPr>
          <w:sz w:val="21"/>
          <w:szCs w:val="21"/>
        </w:rPr>
        <w:t xml:space="preserve">Provides a comparable assertion for Android, with two meaningfully different strength levels depending on device hardware: devices with StrongBox-backed Keystore provide a hardware-rooted guarantee comparable to App Attest; devices with only TEE-backed (but not StrongBox) Keystore provide a weaker, though still real, integrity signal. This distinction is exactly why the Trusted Device Layer's trust tiers (Technical Requirements Document, Table 8.1) are not a simple binary — Play Integrity's own output already reflects a spectrum of underlying hardware assurance that Certivo's tier model is designed to represent honestly rather than collapse into a single 'attested' label.</w:t>
      </w:r>
    </w:p>
    <w:p>
      <w:pPr>
        <w:pStyle w:val="Heading2"/>
        <w:spacing w:after="180" w:before="360"/>
      </w:pPr>
      <w:r>
        <w:rPr>
          <w:b/>
          <w:bCs/>
          <w:color w:val="2E5EAA"/>
          <w:sz w:val="26"/>
          <w:szCs w:val="26"/>
        </w:rPr>
        <w:t xml:space="preserve">3.3 WebAuthn platform authenticators</w:t>
      </w:r>
    </w:p>
    <w:p>
      <w:pPr>
        <w:spacing w:after="200" w:line="300"/>
        <w:jc w:val="both"/>
      </w:pPr>
      <w:r>
        <w:rPr>
          <w:sz w:val="21"/>
          <w:szCs w:val="21"/>
        </w:rPr>
        <w:t xml:space="preserve">For browser-based integrations, WebAuthn provides the closest available equivalent to native hardware attestation, backed by the browser/OS platform authenticator (e.g. Touch ID, Windows Hello) where available. Certivo validates the WebAuthn attestation statement against the relevant authenticator metadata service, and treats the resulting trust tier as Tier 2 (platform-authenticated) per Table 8.1, not Tier 1 — a deliberate, conservative choice reflecting that WebAuthn's underlying hardware assurance varies more across the browser/OS ecosystem than App Attest's does within Apple's more tightly controlled hardware/software stack.</w:t>
      </w:r>
    </w:p>
    <w:p>
      <w:pPr>
        <w:pStyle w:val="Heading2"/>
        <w:spacing w:after="180" w:before="360"/>
      </w:pPr>
      <w:r>
        <w:rPr>
          <w:b/>
          <w:bCs/>
          <w:color w:val="2E5EAA"/>
          <w:sz w:val="26"/>
          <w:szCs w:val="26"/>
        </w:rPr>
        <w:t xml:space="preserve">3.4 Attestation validation as a Cryptographic Service responsibility</w:t>
      </w:r>
    </w:p>
    <w:p>
      <w:pPr>
        <w:spacing w:after="200" w:line="300"/>
        <w:jc w:val="both"/>
      </w:pPr>
      <w:r>
        <w:rPr>
          <w:sz w:val="21"/>
          <w:szCs w:val="21"/>
        </w:rPr>
        <w:t xml:space="preserve">All three attestation types are validated exclusively by the Cryptographic Service (Technical Requirements Document, Section 8.2's issuance flow) — never trusted based on a client's own claim about its attestation result, and never validated by the Backend API Service or any other component, keeping attestation-validation logic in one auditable place rather than duplicated (and potentially inconsistently implemented) across services.</w:t>
      </w:r>
    </w:p>
    <w:p>
      <w:pPr>
        <w:pStyle w:val="Heading1"/>
        <w:pageBreakBefore/>
        <w:spacing w:after="240" w:before="480"/>
      </w:pPr>
      <w:r>
        <w:rPr>
          <w:b/>
          <w:bCs/>
          <w:color w:val="1A2B4C"/>
          <w:sz w:val="32"/>
          <w:szCs w:val="32"/>
        </w:rPr>
        <w:t xml:space="preserve">4. Device-Held Key Management</w:t>
      </w:r>
    </w:p>
    <w:p>
      <w:pPr>
        <w:spacing w:after="200" w:line="300"/>
        <w:jc w:val="both"/>
      </w:pPr>
      <w:r>
        <w:rPr>
          <w:sz w:val="21"/>
          <w:szCs w:val="21"/>
        </w:rPr>
        <w:t xml:space="preserve">Extends Version 1.0's secrets-management principles (Document 9, Section 3.3) to keys that, by the nature of this architecture, must be held on end-user devices rather than exclusively within Certivo's own infrastructure — a genuinely new category Version 1.0 never needed to address.</w:t>
      </w:r>
    </w:p>
    <w:p>
      <w:pPr>
        <w:pStyle w:val="Heading2"/>
        <w:spacing w:after="180" w:before="360"/>
      </w:pPr>
      <w:r>
        <w:rPr>
          <w:b/>
          <w:bCs/>
          <w:color w:val="2E5EAA"/>
          <w:sz w:val="26"/>
          <w:szCs w:val="26"/>
        </w:rPr>
        <w:t xml:space="preserve">4.1 Key provisioning</w:t>
      </w:r>
    </w:p>
    <w:p>
      <w:pPr>
        <w:spacing w:after="200" w:line="300"/>
        <w:jc w:val="both"/>
      </w:pPr>
      <w:r>
        <w:rPr>
          <w:sz w:val="21"/>
          <w:szCs w:val="21"/>
        </w:rPr>
        <w:t xml:space="preserve">Each SDK instance generates its own device-specific signing keypair locally at initialization, using the best available secure storage for that device and trust tier (Secure Enclave/Keystore for Tier 1, browser-level protected storage for Tier 2, application-level storage for Tier 3) — the private key is never transmitted to Certivo or to the integrating partner in any form; only the public key is registered with the Cryptographic Service during Trusted Device Token issuance (System Design Document, Figure 5.3) or, for sessions not using the Trusted Device Layer, during ordinary score-packet signing (Technical Requirements Document, Section 9.2).</w:t>
      </w:r>
    </w:p>
    <w:p>
      <w:pPr>
        <w:pStyle w:val="Heading2"/>
        <w:spacing w:after="180" w:before="360"/>
      </w:pPr>
      <w:r>
        <w:rPr>
          <w:b/>
          <w:bCs/>
          <w:color w:val="2E5EAA"/>
          <w:sz w:val="26"/>
          <w:szCs w:val="26"/>
        </w:rPr>
        <w:t xml:space="preserve">4.2 What 'rotation' means for a device-held key</w:t>
      </w:r>
    </w:p>
    <w:p>
      <w:pPr>
        <w:spacing w:after="200" w:line="300"/>
        <w:jc w:val="both"/>
      </w:pPr>
      <w:r>
        <w:rPr>
          <w:sz w:val="21"/>
          <w:szCs w:val="21"/>
        </w:rPr>
        <w:t xml:space="preserve">Version 1.0's key rotation procedure (Document 9, Section 7) describes rotating Certivo's own signing keys, with both old and new keys remaining valid during a transition window. A device-held key has no equivalent rotation schedule in the same sense — it is provisioned once per SDK installation and persists until the app is reinstalled, the Trusted Device Token is revoked, or the key is explicitly re-provisioned (e.g. following suspected device compromise). 'Rotation' for a device key therefore means: revoking the existing Trusted Device Token (Technical Requirements Document, Section 8.4) and requiring a fresh full verification and re-attestation to establish a new one, rather than a scheduled background rotation of a still-valid credential.</w:t>
      </w:r>
    </w:p>
    <w:p>
      <w:pPr>
        <w:pStyle w:val="Heading2"/>
        <w:spacing w:after="180" w:before="360"/>
      </w:pPr>
      <w:r>
        <w:rPr>
          <w:b/>
          <w:bCs/>
          <w:color w:val="2E5EAA"/>
          <w:sz w:val="26"/>
          <w:szCs w:val="26"/>
        </w:rPr>
        <w:t xml:space="preserve">4.3 Compromise response</w:t>
      </w:r>
    </w:p>
    <w:p>
      <w:pPr>
        <w:spacing w:after="200" w:line="300"/>
        <w:jc w:val="both"/>
      </w:pPr>
      <w:r>
        <w:rPr>
          <w:sz w:val="21"/>
          <w:szCs w:val="21"/>
        </w:rPr>
        <w:t xml:space="preserve">If a device-held private key is suspected compromised (e.g. extracted from a jailbroken device and reused elsewhere), the response is revocation of the associated Trusted Device Token (immediate effect, Technical Requirements Document Section 8.4) plus flagging the associated account for the partner platform's own review — there is no server-side key material to rotate in this scenario, since the compromise is device-local, which is precisely why revocation (cutting off the compromised key's usefulness) rather than rotation (issuing a replacement while the old one transitions out) is the correct and sufficient response here.</w:t>
      </w:r>
    </w:p>
    <w:p>
      <w:pPr>
        <w:pStyle w:val="Heading1"/>
        <w:pageBreakBefore/>
        <w:spacing w:after="240" w:before="480"/>
      </w:pPr>
      <w:r>
        <w:rPr>
          <w:b/>
          <w:bCs/>
          <w:color w:val="1A2B4C"/>
          <w:sz w:val="32"/>
          <w:szCs w:val="32"/>
        </w:rPr>
        <w:t xml:space="preserve">8. Audit Logging (Extended)</w:t>
      </w:r>
    </w:p>
    <w:p>
      <w:pPr>
        <w:spacing w:after="200" w:line="300"/>
        <w:jc w:val="both"/>
      </w:pPr>
      <w:r>
        <w:rPr>
          <w:sz w:val="21"/>
          <w:szCs w:val="21"/>
        </w:rPr>
        <w:t xml:space="preserve">Extends Version 1.0's audit log event categories (Document 9, Table 8.1) with Trusted Device Layer-specific events.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1A2B4C" w:val="clear"/>
            <w:tcMar>
              <w:top w:type="dxa" w:w="100"/>
              <w:left w:type="dxa" w:w="140"/>
              <w:bottom w:type="dxa" w:w="100"/>
              <w:right w:type="dxa" w:w="140"/>
            </w:tcMar>
          </w:tcPr>
          <w:p>
            <w:r>
              <w:rPr>
                <w:b/>
                <w:bCs/>
                <w:color w:val="FFFFFF"/>
                <w:sz w:val="19"/>
                <w:szCs w:val="19"/>
              </w:rPr>
              <w:t xml:space="preserve">Event category</w:t>
            </w:r>
          </w:p>
        </w:tc>
        <w:tc>
          <w:tcPr>
            <w:tcW w:type="dxa" w:w="6800"/>
            <w:shd w:fill="1A2B4C" w:val="clear"/>
            <w:tcMar>
              <w:top w:type="dxa" w:w="100"/>
              <w:left w:type="dxa" w:w="140"/>
              <w:bottom w:type="dxa" w:w="100"/>
              <w:right w:type="dxa" w:w="140"/>
            </w:tcMar>
          </w:tcPr>
          <w:p>
            <w:r>
              <w:rPr>
                <w:b/>
                <w:bCs/>
                <w:color w:val="FFFFFF"/>
                <w:sz w:val="19"/>
                <w:szCs w:val="19"/>
              </w:rPr>
              <w:t xml:space="preserve">Examples</w:t>
            </w:r>
          </w:p>
        </w:tc>
      </w:tr>
      <w:tr>
        <w:tc>
          <w:tcPr>
            <w:tcW w:type="dxa" w:w="2400"/>
            <w:shd w:fill="F4F6F9" w:val="clear"/>
            <w:tcMar>
              <w:top w:type="dxa" w:w="100"/>
              <w:left w:type="dxa" w:w="140"/>
              <w:bottom w:type="dxa" w:w="100"/>
              <w:right w:type="dxa" w:w="140"/>
            </w:tcMar>
          </w:tcPr>
          <w:p>
            <w:r>
              <w:rPr>
                <w:sz w:val="19"/>
                <w:szCs w:val="19"/>
              </w:rPr>
              <w:t xml:space="preserve">Trusted Device Layer</w:t>
            </w:r>
          </w:p>
        </w:tc>
        <w:tc>
          <w:tcPr>
            <w:tcW w:type="dxa" w:w="6800"/>
            <w:shd w:fill="F4F6F9" w:val="clear"/>
            <w:tcMar>
              <w:top w:type="dxa" w:w="100"/>
              <w:left w:type="dxa" w:w="140"/>
              <w:bottom w:type="dxa" w:w="100"/>
              <w:right w:type="dxa" w:w="140"/>
            </w:tcMar>
          </w:tcPr>
          <w:p>
            <w:r>
              <w:rPr>
                <w:sz w:val="19"/>
                <w:szCs w:val="19"/>
              </w:rPr>
              <w:t xml:space="preserve">Token issuance (including trust tier granted), token validation checks, token revocation (with reason), device-switch detection events</w:t>
            </w:r>
          </w:p>
        </w:tc>
      </w:tr>
      <w:tr>
        <w:tc>
          <w:tcPr>
            <w:tcW w:type="dxa" w:w="2400"/>
            <w:shd w:fill="FFFFFF" w:val="clear"/>
            <w:tcMar>
              <w:top w:type="dxa" w:w="100"/>
              <w:left w:type="dxa" w:w="140"/>
              <w:bottom w:type="dxa" w:w="100"/>
              <w:right w:type="dxa" w:w="140"/>
            </w:tcMar>
          </w:tcPr>
          <w:p>
            <w:r>
              <w:rPr>
                <w:sz w:val="19"/>
                <w:szCs w:val="19"/>
              </w:rPr>
              <w:t xml:space="preserve">Continuous session</w:t>
            </w:r>
          </w:p>
        </w:tc>
        <w:tc>
          <w:tcPr>
            <w:tcW w:type="dxa" w:w="6800"/>
            <w:shd w:fill="FFFFFF" w:val="clear"/>
            <w:tcMar>
              <w:top w:type="dxa" w:w="100"/>
              <w:left w:type="dxa" w:w="140"/>
              <w:bottom w:type="dxa" w:w="100"/>
              <w:right w:type="dxa" w:w="140"/>
            </w:tcMar>
          </w:tcPr>
          <w:p>
            <w:r>
              <w:rPr>
                <w:sz w:val="19"/>
                <w:szCs w:val="19"/>
              </w:rPr>
              <w:t xml:space="preserve">Session start/end, mid-call confidence-drop events, session-length attestation signing</w:t>
            </w:r>
          </w:p>
        </w:tc>
      </w:tr>
    </w:tbl>
    <w:p>
      <w:pPr>
        <w:spacing w:after="260" w:before="80"/>
      </w:pPr>
      <w:r>
        <w:rPr>
          <w:i/>
          <w:iCs/>
          <w:color w:val="6B7280"/>
          <w:sz w:val="18"/>
          <w:szCs w:val="18"/>
        </w:rPr>
        <w:t xml:space="preserve">Table 8.1 (new entries) — Audit log event categories added for the flagship.</w:t>
      </w:r>
    </w:p>
    <w:p>
      <w:pPr>
        <w:pStyle w:val="Heading1"/>
        <w:pageBreakBefore/>
        <w:spacing w:after="240" w:before="480"/>
      </w:pPr>
      <w:r>
        <w:rPr>
          <w:b/>
          <w:bCs/>
          <w:color w:val="1A2B4C"/>
          <w:sz w:val="32"/>
          <w:szCs w:val="32"/>
        </w:rPr>
        <w:t xml:space="preserve">9. Incident Response (Extended)</w:t>
      </w:r>
    </w:p>
    <w:p>
      <w:pPr>
        <w:spacing w:after="200" w:line="300"/>
        <w:jc w:val="both"/>
      </w:pPr>
      <w:r>
        <w:rPr>
          <w:sz w:val="21"/>
          <w:szCs w:val="21"/>
        </w:rPr>
        <w:t xml:space="preserve">Extends Version 1.0's severity classification and response process (Document 9, Section 9) with scenarios specific to the edge-inference architecture.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600"/>
      </w:tblGrid>
      <w:tr>
        <w:trPr>
          <w:tblHeader/>
        </w:trPr>
        <w:tc>
          <w:tcPr>
            <w:tcW w:type="dxa" w:w="3200"/>
            <w:shd w:fill="1A2B4C" w:val="clear"/>
            <w:tcMar>
              <w:top w:type="dxa" w:w="100"/>
              <w:left w:type="dxa" w:w="140"/>
              <w:bottom w:type="dxa" w:w="100"/>
              <w:right w:type="dxa" w:w="140"/>
            </w:tcMar>
          </w:tcPr>
          <w:p>
            <w:r>
              <w:rPr>
                <w:b/>
                <w:bCs/>
                <w:color w:val="FFFFFF"/>
                <w:sz w:val="19"/>
                <w:szCs w:val="19"/>
              </w:rPr>
              <w:t xml:space="preserve">Scenario</w:t>
            </w:r>
          </w:p>
        </w:tc>
        <w:tc>
          <w:tcPr>
            <w:tcW w:type="dxa" w:w="1600"/>
            <w:shd w:fill="1A2B4C" w:val="clear"/>
            <w:tcMar>
              <w:top w:type="dxa" w:w="100"/>
              <w:left w:type="dxa" w:w="140"/>
              <w:bottom w:type="dxa" w:w="100"/>
              <w:right w:type="dxa" w:w="140"/>
            </w:tcMar>
          </w:tcPr>
          <w:p>
            <w:r>
              <w:rPr>
                <w:b/>
                <w:bCs/>
                <w:color w:val="FFFFFF"/>
                <w:sz w:val="19"/>
                <w:szCs w:val="19"/>
              </w:rPr>
              <w:t xml:space="preserve">Severity</w:t>
            </w:r>
          </w:p>
        </w:tc>
        <w:tc>
          <w:tcPr>
            <w:tcW w:type="dxa" w:w="4600"/>
            <w:shd w:fill="1A2B4C" w:val="clear"/>
            <w:tcMar>
              <w:top w:type="dxa" w:w="100"/>
              <w:left w:type="dxa" w:w="140"/>
              <w:bottom w:type="dxa" w:w="100"/>
              <w:right w:type="dxa" w:w="140"/>
            </w:tcMar>
          </w:tcPr>
          <w:p>
            <w:r>
              <w:rPr>
                <w:b/>
                <w:bCs/>
                <w:color w:val="FFFFFF"/>
                <w:sz w:val="19"/>
                <w:szCs w:val="19"/>
              </w:rPr>
              <w:t xml:space="preserve">Response</w:t>
            </w:r>
          </w:p>
        </w:tc>
      </w:tr>
      <w:tr>
        <w:tc>
          <w:tcPr>
            <w:tcW w:type="dxa" w:w="3200"/>
            <w:shd w:fill="F4F6F9" w:val="clear"/>
            <w:tcMar>
              <w:top w:type="dxa" w:w="100"/>
              <w:left w:type="dxa" w:w="140"/>
              <w:bottom w:type="dxa" w:w="100"/>
              <w:right w:type="dxa" w:w="140"/>
            </w:tcMar>
          </w:tcPr>
          <w:p>
            <w:r>
              <w:rPr>
                <w:sz w:val="19"/>
                <w:szCs w:val="19"/>
              </w:rPr>
              <w:t xml:space="preserve">A working SDK bypass technique (e.g. a modified client producing fabricated scores) is discovered circulating publicly</w:t>
            </w:r>
          </w:p>
        </w:tc>
        <w:tc>
          <w:tcPr>
            <w:tcW w:type="dxa" w:w="1600"/>
            <w:shd w:fill="F4F6F9" w:val="clear"/>
            <w:tcMar>
              <w:top w:type="dxa" w:w="100"/>
              <w:left w:type="dxa" w:w="140"/>
              <w:bottom w:type="dxa" w:w="100"/>
              <w:right w:type="dxa" w:w="140"/>
            </w:tcMar>
          </w:tcPr>
          <w:p>
            <w:r>
              <w:rPr>
                <w:sz w:val="19"/>
                <w:szCs w:val="19"/>
              </w:rPr>
              <w:t xml:space="preserve">SEV-1 or SEV-2, depending on the technique's reach and the trust tiers it affects</w:t>
            </w:r>
          </w:p>
        </w:tc>
        <w:tc>
          <w:tcPr>
            <w:tcW w:type="dxa" w:w="4600"/>
            <w:shd w:fill="F4F6F9" w:val="clear"/>
            <w:tcMar>
              <w:top w:type="dxa" w:w="100"/>
              <w:left w:type="dxa" w:w="140"/>
              <w:bottom w:type="dxa" w:w="100"/>
              <w:right w:type="dxa" w:w="140"/>
            </w:tcMar>
          </w:tcPr>
          <w:p>
            <w:r>
              <w:rPr>
                <w:sz w:val="19"/>
                <w:szCs w:val="19"/>
              </w:rPr>
              <w:t xml:space="preserve">Immediate anomaly-detection rule update to flag the specific pattern (Section 1.3); assess whether affected partners' policies should temporarily require a stricter trust tier while a proper fix ships; SDK fix prioritized, acknowledging the rollout-speed constraint (System Design Document, Section 6.2) means full remediation is slower than a typical server-side incident.</w:t>
            </w:r>
          </w:p>
        </w:tc>
      </w:tr>
      <w:tr>
        <w:tc>
          <w:tcPr>
            <w:tcW w:type="dxa" w:w="3200"/>
            <w:shd w:fill="FFFFFF" w:val="clear"/>
            <w:tcMar>
              <w:top w:type="dxa" w:w="100"/>
              <w:left w:type="dxa" w:w="140"/>
              <w:bottom w:type="dxa" w:w="100"/>
              <w:right w:type="dxa" w:w="140"/>
            </w:tcMar>
          </w:tcPr>
          <w:p>
            <w:r>
              <w:rPr>
                <w:sz w:val="19"/>
                <w:szCs w:val="19"/>
              </w:rPr>
              <w:t xml:space="preserve">A hardware attestation vendor (Apple, Google) discloses a vulnerability in their attestation mechanism itself</w:t>
            </w:r>
          </w:p>
        </w:tc>
        <w:tc>
          <w:tcPr>
            <w:tcW w:type="dxa" w:w="1600"/>
            <w:shd w:fill="FFFFFF" w:val="clear"/>
            <w:tcMar>
              <w:top w:type="dxa" w:w="100"/>
              <w:left w:type="dxa" w:w="140"/>
              <w:bottom w:type="dxa" w:w="100"/>
              <w:right w:type="dxa" w:w="140"/>
            </w:tcMar>
          </w:tcPr>
          <w:p>
            <w:r>
              <w:rPr>
                <w:sz w:val="19"/>
                <w:szCs w:val="19"/>
              </w:rPr>
              <w:t xml:space="preserve">SEV-1</w:t>
            </w:r>
          </w:p>
        </w:tc>
        <w:tc>
          <w:tcPr>
            <w:tcW w:type="dxa" w:w="4600"/>
            <w:shd w:fill="FFFFFF" w:val="clear"/>
            <w:tcMar>
              <w:top w:type="dxa" w:w="100"/>
              <w:left w:type="dxa" w:w="140"/>
              <w:bottom w:type="dxa" w:w="100"/>
              <w:right w:type="dxa" w:w="140"/>
            </w:tcMar>
          </w:tcPr>
          <w:p>
            <w:r>
              <w:rPr>
                <w:sz w:val="19"/>
                <w:szCs w:val="19"/>
              </w:rPr>
              <w:t xml:space="preserve">Coordinate with the vendor's own disclosed mitigation; treat affected trust tiers as degraded until the vendor's fix is confirmed effective; do not unilaterally claim a tier is still trustworthy on Certivo's own authority when the underlying vendor mechanism it depends on is under active scrutiny.</w:t>
            </w:r>
          </w:p>
        </w:tc>
      </w:tr>
      <w:tr>
        <w:tc>
          <w:tcPr>
            <w:tcW w:type="dxa" w:w="3200"/>
            <w:shd w:fill="F4F6F9" w:val="clear"/>
            <w:tcMar>
              <w:top w:type="dxa" w:w="100"/>
              <w:left w:type="dxa" w:w="140"/>
              <w:bottom w:type="dxa" w:w="100"/>
              <w:right w:type="dxa" w:w="140"/>
            </w:tcMar>
          </w:tcPr>
          <w:p>
            <w:r>
              <w:rPr>
                <w:sz w:val="19"/>
                <w:szCs w:val="19"/>
              </w:rPr>
              <w:t xml:space="preserve">Widespread device-switch detection false positives following a legitimate event (e.g. a partner's own app update changes device fingerprint characteristics)</w:t>
            </w:r>
          </w:p>
        </w:tc>
        <w:tc>
          <w:tcPr>
            <w:tcW w:type="dxa" w:w="1600"/>
            <w:shd w:fill="F4F6F9" w:val="clear"/>
            <w:tcMar>
              <w:top w:type="dxa" w:w="100"/>
              <w:left w:type="dxa" w:w="140"/>
              <w:bottom w:type="dxa" w:w="100"/>
              <w:right w:type="dxa" w:w="140"/>
            </w:tcMar>
          </w:tcPr>
          <w:p>
            <w:r>
              <w:rPr>
                <w:sz w:val="19"/>
                <w:szCs w:val="19"/>
              </w:rPr>
              <w:t xml:space="preserve">SEV-2 or SEV-3</w:t>
            </w:r>
          </w:p>
        </w:tc>
        <w:tc>
          <w:tcPr>
            <w:tcW w:type="dxa" w:w="4600"/>
            <w:shd w:fill="F4F6F9" w:val="clear"/>
            <w:tcMar>
              <w:top w:type="dxa" w:w="100"/>
              <w:left w:type="dxa" w:w="140"/>
              <w:bottom w:type="dxa" w:w="100"/>
              <w:right w:type="dxa" w:w="140"/>
            </w:tcMar>
          </w:tcPr>
          <w:p>
            <w:r>
              <w:rPr>
                <w:sz w:val="19"/>
                <w:szCs w:val="19"/>
              </w:rPr>
              <w:t xml:space="preserve">Distinguish this from a security incident quickly — this is a detection-tuning problem, not an attack — and correct the underlying signal rather than treating every device switch as suspicious by default, since over-triggering this control erodes its value for genuine detection later.</w:t>
            </w:r>
          </w:p>
        </w:tc>
      </w:tr>
    </w:tbl>
    <w:p>
      <w:pPr>
        <w:spacing w:after="260" w:before="80"/>
      </w:pPr>
      <w:r>
        <w:rPr>
          <w:i/>
          <w:iCs/>
          <w:color w:val="6B7280"/>
          <w:sz w:val="18"/>
          <w:szCs w:val="18"/>
        </w:rPr>
        <w:t xml:space="preserve">Table 9.1 — New incident scenarios specific to the untrusted-client and hardware-attestation surfaces.</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CERTIVO — Security Architecture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2026-07-06T21:55:47.919Z</dcterms:created>
  <dcterms:modified xsi:type="dcterms:W3CDTF">2026-07-06T21:55:47.934Z</dcterms:modified>
</cp:coreProperties>
</file>

<file path=docProps/custom.xml><?xml version="1.0" encoding="utf-8"?>
<Properties xmlns="http://schemas.openxmlformats.org/officeDocument/2006/custom-properties" xmlns:vt="http://schemas.openxmlformats.org/officeDocument/2006/docPropsVTypes"/>
</file>