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DESIGN SYSTEM</w:t>
      </w:r>
    </w:p>
    <w:p>
      <w:pPr>
        <w:spacing w:before="200"/>
        <w:jc w:val="center"/>
      </w:pPr>
      <w:r>
        <w:rPr>
          <w:color w:val="6B7280"/>
          <w:sz w:val="20"/>
          <w:szCs w:val="20"/>
        </w:rPr>
        <w:t xml:space="preserve">Document 13 of 18 — Phase 6: Product Design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introduces two component patterns with no point-in-time equivalent: a continuous, live in-call trust indicator, and a visual language for the Trusted Device Layer's trust tiers. Version 1.0's color palette, typography, spacing, button, icon, and accessibility foundations are unchanged and are extended, not replaced, by the additions below.</w:t>
      </w:r>
    </w:p>
    <w:p>
      <w:pPr>
        <w:pStyle w:val="Heading1"/>
        <w:pageBreakBefore/>
        <w:spacing w:after="240" w:before="480"/>
      </w:pPr>
      <w:r>
        <w:rPr>
          <w:b/>
          <w:bCs/>
          <w:color w:val="1A2B4C"/>
          <w:sz w:val="32"/>
          <w:szCs w:val="32"/>
        </w:rPr>
        <w:t xml:space="preserve">6. The In-Call Trust Indicator (New)</w:t>
      </w:r>
    </w:p>
    <w:p>
      <w:pPr>
        <w:spacing w:after="200" w:line="300"/>
        <w:jc w:val="both"/>
      </w:pPr>
      <w:r>
        <w:rPr>
          <w:sz w:val="21"/>
          <w:szCs w:val="21"/>
        </w:rPr>
        <w:t xml:space="preserve">The single most important new design problem this revision addresses: how do you show a continuously updating trust signal, for another living person, during a live conversation, without it feeling like surveillance, an accusation, or a distraction from the call itself?</w:t>
      </w:r>
    </w:p>
    <w:p>
      <w:pPr>
        <w:pStyle w:val="Heading2"/>
        <w:spacing w:after="180" w:before="360"/>
      </w:pPr>
      <w:r>
        <w:rPr>
          <w:b/>
          <w:bCs/>
          <w:color w:val="2E5EAA"/>
          <w:sz w:val="26"/>
          <w:szCs w:val="26"/>
        </w:rPr>
        <w:t xml:space="preserve">6.1 Design principles specific to this component</w:t>
      </w:r>
    </w:p>
    <w:p>
      <w:pPr>
        <w:pStyle w:val="ListParagraph"/>
        <w:numPr>
          <w:ilvl w:val="0"/>
          <w:numId w:val="2"/>
        </w:numPr>
        <w:spacing w:after="100" w:line="280"/>
      </w:pPr>
      <w:r>
        <w:rPr>
          <w:sz w:val="21"/>
          <w:szCs w:val="21"/>
        </w:rPr>
        <w:t xml:space="preserve">Calm by default, alarming only when it needs to be — the indicator's resting state (high, stable confidence) should be nearly invisible, consistent with the Design System's restraint principle (Version 1.0, Section 1.1); it should only draw visual attention when confidence genuinely drops, per Vision Document (Document 1, Version 2.0, Section 3)'s 'continuous does not mean invasive' principle.</w:t>
      </w:r>
    </w:p>
    <w:p>
      <w:pPr>
        <w:pStyle w:val="ListParagraph"/>
        <w:numPr>
          <w:ilvl w:val="0"/>
          <w:numId w:val="2"/>
        </w:numPr>
        <w:spacing w:after="100" w:line="280"/>
      </w:pPr>
      <w:r>
        <w:rPr>
          <w:sz w:val="21"/>
          <w:szCs w:val="21"/>
        </w:rPr>
        <w:t xml:space="preserve">Symmetric presentation — every participant sees the same kind of indicator for every other participant, never a one-sided 'you are being watched' treatment for some participants and a 'you are protected' framing for others, consistent with PRD FR-C.4's symmetric design intent.</w:t>
      </w:r>
    </w:p>
    <w:p>
      <w:pPr>
        <w:pStyle w:val="ListParagraph"/>
        <w:numPr>
          <w:ilvl w:val="0"/>
          <w:numId w:val="2"/>
        </w:numPr>
        <w:spacing w:after="100" w:line="280"/>
      </w:pPr>
      <w:r>
        <w:rPr>
          <w:sz w:val="21"/>
          <w:szCs w:val="21"/>
        </w:rPr>
        <w:t xml:space="preserve">Never a bare score — consistent with the explainability-first principle applied to this component specifically, the indicator always affords access to a plain-language explanation on demand, never displaying a number alone with no path to understanding what it means.</w:t>
      </w:r>
    </w:p>
    <w:p>
      <w:pPr>
        <w:pStyle w:val="Heading2"/>
        <w:spacing w:after="180" w:before="360"/>
      </w:pPr>
      <w:r>
        <w:rPr>
          <w:b/>
          <w:bCs/>
          <w:color w:val="2E5EAA"/>
          <w:sz w:val="26"/>
          <w:szCs w:val="26"/>
        </w:rPr>
        <w:t xml:space="preserve">6.2 Visual states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State</w:t>
            </w:r>
          </w:p>
        </w:tc>
        <w:tc>
          <w:tcPr>
            <w:tcW w:type="dxa" w:w="4200"/>
            <w:shd w:fill="1A2B4C" w:val="clear"/>
            <w:tcMar>
              <w:top w:type="dxa" w:w="100"/>
              <w:left w:type="dxa" w:w="140"/>
              <w:bottom w:type="dxa" w:w="100"/>
              <w:right w:type="dxa" w:w="140"/>
            </w:tcMar>
          </w:tcPr>
          <w:p>
            <w:r>
              <w:rPr>
                <w:b/>
                <w:bCs/>
                <w:color w:val="FFFFFF"/>
                <w:sz w:val="19"/>
                <w:szCs w:val="19"/>
              </w:rPr>
              <w:t xml:space="preserve">Visual treatment</w:t>
            </w:r>
          </w:p>
        </w:tc>
        <w:tc>
          <w:tcPr>
            <w:tcW w:type="dxa" w:w="3200"/>
            <w:shd w:fill="1A2B4C" w:val="clear"/>
            <w:tcMar>
              <w:top w:type="dxa" w:w="100"/>
              <w:left w:type="dxa" w:w="140"/>
              <w:bottom w:type="dxa" w:w="100"/>
              <w:right w:type="dxa" w:w="140"/>
            </w:tcMar>
          </w:tcPr>
          <w:p>
            <w:r>
              <w:rPr>
                <w:b/>
                <w:bCs/>
                <w:color w:val="FFFFFF"/>
                <w:sz w:val="19"/>
                <w:szCs w:val="19"/>
              </w:rPr>
              <w:t xml:space="preserve">When shown</w:t>
            </w:r>
          </w:p>
        </w:tc>
      </w:tr>
      <w:tr>
        <w:tc>
          <w:tcPr>
            <w:tcW w:type="dxa" w:w="2400"/>
            <w:shd w:fill="F4F6F9" w:val="clear"/>
            <w:tcMar>
              <w:top w:type="dxa" w:w="100"/>
              <w:left w:type="dxa" w:w="140"/>
              <w:bottom w:type="dxa" w:w="100"/>
              <w:right w:type="dxa" w:w="140"/>
            </w:tcMar>
          </w:tcPr>
          <w:p>
            <w:r>
              <w:rPr>
                <w:sz w:val="19"/>
                <w:szCs w:val="19"/>
              </w:rPr>
              <w:t xml:space="preserve">Stable, high confidence (default)</w:t>
            </w:r>
          </w:p>
        </w:tc>
        <w:tc>
          <w:tcPr>
            <w:tcW w:type="dxa" w:w="4200"/>
            <w:shd w:fill="F4F6F9" w:val="clear"/>
            <w:tcMar>
              <w:top w:type="dxa" w:w="100"/>
              <w:left w:type="dxa" w:w="140"/>
              <w:bottom w:type="dxa" w:w="100"/>
              <w:right w:type="dxa" w:w="140"/>
            </w:tcMar>
          </w:tcPr>
          <w:p>
            <w:r>
              <w:rPr>
                <w:sz w:val="19"/>
                <w:szCs w:val="19"/>
              </w:rPr>
              <w:t xml:space="preserve">A small, unobtrusive icon-only indicator in a neutral, low-attention color — present but not attention-seeking</w:t>
            </w:r>
          </w:p>
        </w:tc>
        <w:tc>
          <w:tcPr>
            <w:tcW w:type="dxa" w:w="3200"/>
            <w:shd w:fill="F4F6F9" w:val="clear"/>
            <w:tcMar>
              <w:top w:type="dxa" w:w="100"/>
              <w:left w:type="dxa" w:w="140"/>
              <w:bottom w:type="dxa" w:w="100"/>
              <w:right w:type="dxa" w:w="140"/>
            </w:tcMar>
          </w:tcPr>
          <w:p>
            <w:r>
              <w:rPr>
                <w:sz w:val="19"/>
                <w:szCs w:val="19"/>
              </w:rPr>
              <w:t xml:space="preserve">The default state for the vast majority of a call's duration</w:t>
            </w:r>
          </w:p>
        </w:tc>
      </w:tr>
      <w:tr>
        <w:tc>
          <w:tcPr>
            <w:tcW w:type="dxa" w:w="2400"/>
            <w:shd w:fill="FFFFFF" w:val="clear"/>
            <w:tcMar>
              <w:top w:type="dxa" w:w="100"/>
              <w:left w:type="dxa" w:w="140"/>
              <w:bottom w:type="dxa" w:w="100"/>
              <w:right w:type="dxa" w:w="140"/>
            </w:tcMar>
          </w:tcPr>
          <w:p>
            <w:r>
              <w:rPr>
                <w:sz w:val="19"/>
                <w:szCs w:val="19"/>
              </w:rPr>
              <w:t xml:space="preserve">Borderline / fallback</w:t>
            </w:r>
          </w:p>
        </w:tc>
        <w:tc>
          <w:tcPr>
            <w:tcW w:type="dxa" w:w="4200"/>
            <w:shd w:fill="FFFFFF" w:val="clear"/>
            <w:tcMar>
              <w:top w:type="dxa" w:w="100"/>
              <w:left w:type="dxa" w:w="140"/>
              <w:bottom w:type="dxa" w:w="100"/>
              <w:right w:type="dxa" w:w="140"/>
            </w:tcMar>
          </w:tcPr>
          <w:p>
            <w:r>
              <w:rPr>
                <w:sz w:val="19"/>
                <w:szCs w:val="19"/>
              </w:rPr>
              <w:t xml:space="preserve">Indicator shifts to color-warning-700 (Version 1.0 palette), with a brief, non-blocking label appearing once, not persistently</w:t>
            </w:r>
          </w:p>
        </w:tc>
        <w:tc>
          <w:tcPr>
            <w:tcW w:type="dxa" w:w="3200"/>
            <w:shd w:fill="FFFFFF" w:val="clear"/>
            <w:tcMar>
              <w:top w:type="dxa" w:w="100"/>
              <w:left w:type="dxa" w:w="140"/>
              <w:bottom w:type="dxa" w:w="100"/>
              <w:right w:type="dxa" w:w="140"/>
            </w:tcMar>
          </w:tcPr>
          <w:p>
            <w:r>
              <w:rPr>
                <w:sz w:val="19"/>
                <w:szCs w:val="19"/>
              </w:rPr>
              <w:t xml:space="preserve">Confidence in the fallback range (PRD FR-C.8), not yet a rejection</w:t>
            </w:r>
          </w:p>
        </w:tc>
      </w:tr>
      <w:tr>
        <w:tc>
          <w:tcPr>
            <w:tcW w:type="dxa" w:w="2400"/>
            <w:shd w:fill="F4F6F9" w:val="clear"/>
            <w:tcMar>
              <w:top w:type="dxa" w:w="100"/>
              <w:left w:type="dxa" w:w="140"/>
              <w:bottom w:type="dxa" w:w="100"/>
              <w:right w:type="dxa" w:w="140"/>
            </w:tcMar>
          </w:tcPr>
          <w:p>
            <w:r>
              <w:rPr>
                <w:sz w:val="19"/>
                <w:szCs w:val="19"/>
              </w:rPr>
              <w:t xml:space="preserve">Confidence dropped / flagged</w:t>
            </w:r>
          </w:p>
        </w:tc>
        <w:tc>
          <w:tcPr>
            <w:tcW w:type="dxa" w:w="4200"/>
            <w:shd w:fill="F4F6F9" w:val="clear"/>
            <w:tcMar>
              <w:top w:type="dxa" w:w="100"/>
              <w:left w:type="dxa" w:w="140"/>
              <w:bottom w:type="dxa" w:w="100"/>
              <w:right w:type="dxa" w:w="140"/>
            </w:tcMar>
          </w:tcPr>
          <w:p>
            <w:r>
              <w:rPr>
                <w:sz w:val="19"/>
                <w:szCs w:val="19"/>
              </w:rPr>
              <w:t xml:space="preserve">Indicator shifts to color-danger-700, with a clear, specific, non-alarmist message and the platform's configured response surfaced (e.g. a moderation prompt), per the calm-confidence principle (Version 1.0, Section 1.1) — designed to inform, not to publicly shame a participant in front of others on the call</w:t>
            </w:r>
          </w:p>
        </w:tc>
        <w:tc>
          <w:tcPr>
            <w:tcW w:type="dxa" w:w="3200"/>
            <w:shd w:fill="F4F6F9" w:val="clear"/>
            <w:tcMar>
              <w:top w:type="dxa" w:w="100"/>
              <w:left w:type="dxa" w:w="140"/>
              <w:bottom w:type="dxa" w:w="100"/>
              <w:right w:type="dxa" w:w="140"/>
            </w:tcMar>
          </w:tcPr>
          <w:p>
            <w:r>
              <w:rPr>
                <w:sz w:val="19"/>
                <w:szCs w:val="19"/>
              </w:rPr>
              <w:t xml:space="preserve">A confidence drop below the partner's configured threshold (System Design Document, Figure 5.2)</w:t>
            </w:r>
          </w:p>
        </w:tc>
      </w:tr>
      <w:tr>
        <w:tc>
          <w:tcPr>
            <w:tcW w:type="dxa" w:w="2400"/>
            <w:shd w:fill="FFFFFF" w:val="clear"/>
            <w:tcMar>
              <w:top w:type="dxa" w:w="100"/>
              <w:left w:type="dxa" w:w="140"/>
              <w:bottom w:type="dxa" w:w="100"/>
              <w:right w:type="dxa" w:w="140"/>
            </w:tcMar>
          </w:tcPr>
          <w:p>
            <w:r>
              <w:rPr>
                <w:sz w:val="19"/>
                <w:szCs w:val="19"/>
              </w:rPr>
              <w:t xml:space="preserve">Verification paused</w:t>
            </w:r>
          </w:p>
        </w:tc>
        <w:tc>
          <w:tcPr>
            <w:tcW w:type="dxa" w:w="4200"/>
            <w:shd w:fill="FFFFFF" w:val="clear"/>
            <w:tcMar>
              <w:top w:type="dxa" w:w="100"/>
              <w:left w:type="dxa" w:w="140"/>
              <w:bottom w:type="dxa" w:w="100"/>
              <w:right w:type="dxa" w:w="140"/>
            </w:tcMar>
          </w:tcPr>
          <w:p>
            <w:r>
              <w:rPr>
                <w:sz w:val="19"/>
                <w:szCs w:val="19"/>
              </w:rPr>
              <w:t xml:space="preserve">A distinct, neutral (not danger-colored) treatment — explicitly different from a confidence-dropped state, since a pause reflects a system condition (Technical Requirements Document, Section 2.4), not a finding about the participant</w:t>
            </w:r>
          </w:p>
        </w:tc>
        <w:tc>
          <w:tcPr>
            <w:tcW w:type="dxa" w:w="3200"/>
            <w:shd w:fill="FFFFFF" w:val="clear"/>
            <w:tcMar>
              <w:top w:type="dxa" w:w="100"/>
              <w:left w:type="dxa" w:w="140"/>
              <w:bottom w:type="dxa" w:w="100"/>
              <w:right w:type="dxa" w:w="140"/>
            </w:tcMar>
          </w:tcPr>
          <w:p>
            <w:r>
              <w:rPr>
                <w:sz w:val="19"/>
                <w:szCs w:val="19"/>
              </w:rPr>
              <w:t xml:space="preserve">Backend or SDK connectivity issue (System Design Document, Section 7.1)</w:t>
            </w:r>
          </w:p>
        </w:tc>
      </w:tr>
    </w:tbl>
    <w:p>
      <w:pPr>
        <w:spacing w:after="260" w:before="80"/>
      </w:pPr>
      <w:r>
        <w:rPr>
          <w:i/>
          <w:iCs/>
          <w:color w:val="6B7280"/>
          <w:sz w:val="18"/>
          <w:szCs w:val="18"/>
        </w:rPr>
        <w:t xml:space="preserve">Table 6.1 — In-call trust indicator visual states. The distinction between 'confidence dropped' and 'verification paused' is deliberate and load-bearing — conflating a system outage with a finding about a person would be a serious, avoidable design error.</w:t>
      </w:r>
    </w:p>
    <w:p>
      <w:pPr>
        <w:pStyle w:val="Heading2"/>
        <w:spacing w:after="180" w:before="360"/>
      </w:pPr>
      <w:r>
        <w:rPr>
          <w:b/>
          <w:bCs/>
          <w:color w:val="2E5EAA"/>
          <w:sz w:val="26"/>
          <w:szCs w:val="26"/>
        </w:rPr>
        <w:t xml:space="preserve">6.3 A note on sensitivity</w:t>
      </w:r>
    </w:p>
    <w:p>
      <w:pPr>
        <w:spacing w:after="200" w:line="300"/>
        <w:jc w:val="both"/>
      </w:pPr>
      <w:r>
        <w:rPr>
          <w:sz w:val="21"/>
          <w:szCs w:val="21"/>
        </w:rPr>
        <w:t xml:space="preserve">A mid-call confidence-drop indicator is, in effect, telling a group of people that one participant may not be who or what they appear to be — a socially and reputationally sensitive moment. The component is designed to give the platform (not Certivo, and not the UI itself) control over exactly how this is surfaced, since a platform's own trust &amp; safety policy — not a generic UI default — should determine whether this becomes a visible-to-all-participants event, a private prompt to a moderator, or a silent flag for later review. The Design System provides the visual states (Table 6.1); the UX Specification (Document 14, Version 2.0) and each partner's own configuration determine which participants see which state.</w:t>
      </w:r>
    </w:p>
    <w:p>
      <w:pPr>
        <w:pStyle w:val="Heading1"/>
        <w:pageBreakBefore/>
        <w:spacing w:after="240" w:before="480"/>
      </w:pPr>
      <w:r>
        <w:rPr>
          <w:b/>
          <w:bCs/>
          <w:color w:val="1A2B4C"/>
          <w:sz w:val="32"/>
          <w:szCs w:val="32"/>
        </w:rPr>
        <w:t xml:space="preserve">7. Trust Tier Visual Language (New)</w:t>
      </w:r>
    </w:p>
    <w:p>
      <w:pPr>
        <w:spacing w:after="200" w:line="300"/>
        <w:jc w:val="both"/>
      </w:pPr>
      <w:r>
        <w:rPr>
          <w:sz w:val="21"/>
          <w:szCs w:val="21"/>
        </w:rPr>
        <w:t xml:space="preserve">Visual treatment for the Trusted Device Layer's three trust tiers (Technical Requirements Document, Table 8.1), designed so a lower tier is never presented as a failure or a suspicious state — a Tier 3 (software-only) device is a legitimate, expected outcome for a large share of real devices (per the graceful-degradation decision), not a degraded user experience to apologize for.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A2B4C" w:val="clear"/>
            <w:tcMar>
              <w:top w:type="dxa" w:w="100"/>
              <w:left w:type="dxa" w:w="140"/>
              <w:bottom w:type="dxa" w:w="100"/>
              <w:right w:type="dxa" w:w="140"/>
            </w:tcMar>
          </w:tcPr>
          <w:p>
            <w:r>
              <w:rPr>
                <w:b/>
                <w:bCs/>
                <w:color w:val="FFFFFF"/>
                <w:sz w:val="19"/>
                <w:szCs w:val="19"/>
              </w:rPr>
              <w:t xml:space="preserve">Tier</w:t>
            </w:r>
          </w:p>
        </w:tc>
        <w:tc>
          <w:tcPr>
            <w:tcW w:type="dxa" w:w="3400"/>
            <w:shd w:fill="1A2B4C" w:val="clear"/>
            <w:tcMar>
              <w:top w:type="dxa" w:w="100"/>
              <w:left w:type="dxa" w:w="140"/>
              <w:bottom w:type="dxa" w:w="100"/>
              <w:right w:type="dxa" w:w="140"/>
            </w:tcMar>
          </w:tcPr>
          <w:p>
            <w:r>
              <w:rPr>
                <w:b/>
                <w:bCs/>
                <w:color w:val="FFFFFF"/>
                <w:sz w:val="19"/>
                <w:szCs w:val="19"/>
              </w:rPr>
              <w:t xml:space="preserve">Visual treatment</w:t>
            </w:r>
          </w:p>
        </w:tc>
        <w:tc>
          <w:tcPr>
            <w:tcW w:type="dxa" w:w="4200"/>
            <w:shd w:fill="1A2B4C" w:val="clear"/>
            <w:tcMar>
              <w:top w:type="dxa" w:w="100"/>
              <w:left w:type="dxa" w:w="140"/>
              <w:bottom w:type="dxa" w:w="100"/>
              <w:right w:type="dxa" w:w="140"/>
            </w:tcMar>
          </w:tcPr>
          <w:p>
            <w:r>
              <w:rPr>
                <w:b/>
                <w:bCs/>
                <w:color w:val="FFFFFF"/>
                <w:sz w:val="19"/>
                <w:szCs w:val="19"/>
              </w:rPr>
              <w:t xml:space="preserve">Design rationale</w:t>
            </w:r>
          </w:p>
        </w:tc>
      </w:tr>
      <w:tr>
        <w:tc>
          <w:tcPr>
            <w:tcW w:type="dxa" w:w="2200"/>
            <w:shd w:fill="F4F6F9" w:val="clear"/>
            <w:tcMar>
              <w:top w:type="dxa" w:w="100"/>
              <w:left w:type="dxa" w:w="140"/>
              <w:bottom w:type="dxa" w:w="100"/>
              <w:right w:type="dxa" w:w="140"/>
            </w:tcMar>
          </w:tcPr>
          <w:p>
            <w:r>
              <w:rPr>
                <w:sz w:val="19"/>
                <w:szCs w:val="19"/>
              </w:rPr>
              <w:t xml:space="preserve">Tier 1 — Hardware-attested</w:t>
            </w:r>
          </w:p>
        </w:tc>
        <w:tc>
          <w:tcPr>
            <w:tcW w:type="dxa" w:w="3400"/>
            <w:shd w:fill="F4F6F9" w:val="clear"/>
            <w:tcMar>
              <w:top w:type="dxa" w:w="100"/>
              <w:left w:type="dxa" w:w="140"/>
              <w:bottom w:type="dxa" w:w="100"/>
              <w:right w:type="dxa" w:w="140"/>
            </w:tcMar>
          </w:tcPr>
          <w:p>
            <w:r>
              <w:rPr>
                <w:sz w:val="19"/>
                <w:szCs w:val="19"/>
              </w:rPr>
              <w:t xml:space="preserve">A filled, solid icon variant in color-accent-600</w:t>
            </w:r>
          </w:p>
        </w:tc>
        <w:tc>
          <w:tcPr>
            <w:tcW w:type="dxa" w:w="4200"/>
            <w:shd w:fill="F4F6F9" w:val="clear"/>
            <w:tcMar>
              <w:top w:type="dxa" w:w="100"/>
              <w:left w:type="dxa" w:w="140"/>
              <w:bottom w:type="dxa" w:w="100"/>
              <w:right w:type="dxa" w:w="140"/>
            </w:tcMar>
          </w:tcPr>
          <w:p>
            <w:r>
              <w:rPr>
                <w:sz w:val="19"/>
                <w:szCs w:val="19"/>
              </w:rPr>
              <w:t xml:space="preserve">Communicates strength without implying other tiers are untrustworthy — solid fill as 'more,' not the only acceptable state</w:t>
            </w:r>
          </w:p>
        </w:tc>
      </w:tr>
      <w:tr>
        <w:tc>
          <w:tcPr>
            <w:tcW w:type="dxa" w:w="2200"/>
            <w:shd w:fill="FFFFFF" w:val="clear"/>
            <w:tcMar>
              <w:top w:type="dxa" w:w="100"/>
              <w:left w:type="dxa" w:w="140"/>
              <w:bottom w:type="dxa" w:w="100"/>
              <w:right w:type="dxa" w:w="140"/>
            </w:tcMar>
          </w:tcPr>
          <w:p>
            <w:r>
              <w:rPr>
                <w:sz w:val="19"/>
                <w:szCs w:val="19"/>
              </w:rPr>
              <w:t xml:space="preserve">Tier 2 — Platform-authenticated</w:t>
            </w:r>
          </w:p>
        </w:tc>
        <w:tc>
          <w:tcPr>
            <w:tcW w:type="dxa" w:w="3400"/>
            <w:shd w:fill="FFFFFF" w:val="clear"/>
            <w:tcMar>
              <w:top w:type="dxa" w:w="100"/>
              <w:left w:type="dxa" w:w="140"/>
              <w:bottom w:type="dxa" w:w="100"/>
              <w:right w:type="dxa" w:w="140"/>
            </w:tcMar>
          </w:tcPr>
          <w:p>
            <w:r>
              <w:rPr>
                <w:sz w:val="19"/>
                <w:szCs w:val="19"/>
              </w:rPr>
              <w:t xml:space="preserve">An outlined icon variant in color-accent-600</w:t>
            </w:r>
          </w:p>
        </w:tc>
        <w:tc>
          <w:tcPr>
            <w:tcW w:type="dxa" w:w="4200"/>
            <w:shd w:fill="FFFFFF" w:val="clear"/>
            <w:tcMar>
              <w:top w:type="dxa" w:w="100"/>
              <w:left w:type="dxa" w:w="140"/>
              <w:bottom w:type="dxa" w:w="100"/>
              <w:right w:type="dxa" w:w="140"/>
            </w:tcMar>
          </w:tcPr>
          <w:p>
            <w:r>
              <w:rPr>
                <w:sz w:val="19"/>
                <w:szCs w:val="19"/>
              </w:rPr>
              <w:t xml:space="preserve">Visually related to Tier 1 (same icon, same color) but clearly distinguished by fill, avoiding a red/yellow/green severity implication that would misrepresent a real, legitimate trust level as a warning</w:t>
            </w:r>
          </w:p>
        </w:tc>
      </w:tr>
      <w:tr>
        <w:tc>
          <w:tcPr>
            <w:tcW w:type="dxa" w:w="2200"/>
            <w:shd w:fill="F4F6F9" w:val="clear"/>
            <w:tcMar>
              <w:top w:type="dxa" w:w="100"/>
              <w:left w:type="dxa" w:w="140"/>
              <w:bottom w:type="dxa" w:w="100"/>
              <w:right w:type="dxa" w:w="140"/>
            </w:tcMar>
          </w:tcPr>
          <w:p>
            <w:r>
              <w:rPr>
                <w:sz w:val="19"/>
                <w:szCs w:val="19"/>
              </w:rPr>
              <w:t xml:space="preserve">Tier 3 — Software-only</w:t>
            </w:r>
          </w:p>
        </w:tc>
        <w:tc>
          <w:tcPr>
            <w:tcW w:type="dxa" w:w="3400"/>
            <w:shd w:fill="F4F6F9" w:val="clear"/>
            <w:tcMar>
              <w:top w:type="dxa" w:w="100"/>
              <w:left w:type="dxa" w:w="140"/>
              <w:bottom w:type="dxa" w:w="100"/>
              <w:right w:type="dxa" w:w="140"/>
            </w:tcMar>
          </w:tcPr>
          <w:p>
            <w:r>
              <w:rPr>
                <w:sz w:val="19"/>
                <w:szCs w:val="19"/>
              </w:rPr>
              <w:t xml:space="preserve">A minimal, single-line icon variant in color-gray-500</w:t>
            </w:r>
          </w:p>
        </w:tc>
        <w:tc>
          <w:tcPr>
            <w:tcW w:type="dxa" w:w="4200"/>
            <w:shd w:fill="F4F6F9" w:val="clear"/>
            <w:tcMar>
              <w:top w:type="dxa" w:w="100"/>
              <w:left w:type="dxa" w:w="140"/>
              <w:bottom w:type="dxa" w:w="100"/>
              <w:right w:type="dxa" w:w="140"/>
            </w:tcMar>
          </w:tcPr>
          <w:p>
            <w:r>
              <w:rPr>
                <w:sz w:val="19"/>
                <w:szCs w:val="19"/>
              </w:rPr>
              <w:t xml:space="preserve">Deliberately neutral, not alarming — never uses color-warning-700 or color-danger-700, since this tier is an expected, legitimate outcome for many real devices, not a problem state</w:t>
            </w:r>
          </w:p>
        </w:tc>
      </w:tr>
    </w:tbl>
    <w:p>
      <w:pPr>
        <w:spacing w:after="260" w:before="80"/>
      </w:pPr>
      <w:r>
        <w:rPr>
          <w:i/>
          <w:iCs/>
          <w:color w:val="6B7280"/>
          <w:sz w:val="18"/>
          <w:szCs w:val="18"/>
        </w:rPr>
        <w:t xml:space="preserve">Table 7.1 — Trust tier visual language. Deliberately avoids the decision-state color mapping (Version 1.0, Section 2.2) entirely for this component, since that mapping is reserved for accept/reject/fallback outcomes and reusing it here would incorrectly imply a lower tier is itself a negative outcome.</w:t>
      </w:r>
    </w:p>
    <w:p>
      <w:pPr>
        <w:pStyle w:val="Heading1"/>
        <w:pageBreakBefore/>
        <w:spacing w:after="240" w:before="480"/>
      </w:pPr>
      <w:r>
        <w:rPr>
          <w:b/>
          <w:bCs/>
          <w:color w:val="1A2B4C"/>
          <w:sz w:val="32"/>
          <w:szCs w:val="32"/>
        </w:rPr>
        <w:t xml:space="preserve">8. Component Library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Component</w:t>
            </w:r>
          </w:p>
        </w:tc>
        <w:tc>
          <w:tcPr>
            <w:tcW w:type="dxa" w:w="3400"/>
            <w:shd w:fill="1A2B4C" w:val="clear"/>
            <w:tcMar>
              <w:top w:type="dxa" w:w="100"/>
              <w:left w:type="dxa" w:w="140"/>
              <w:bottom w:type="dxa" w:w="100"/>
              <w:right w:type="dxa" w:w="140"/>
            </w:tcMar>
          </w:tcPr>
          <w:p>
            <w:r>
              <w:rPr>
                <w:b/>
                <w:bCs/>
                <w:color w:val="FFFFFF"/>
                <w:sz w:val="19"/>
                <w:szCs w:val="19"/>
              </w:rPr>
              <w:t xml:space="preserve">Purpose</w:t>
            </w:r>
          </w:p>
        </w:tc>
        <w:tc>
          <w:tcPr>
            <w:tcW w:type="dxa" w:w="3400"/>
            <w:shd w:fill="1A2B4C" w:val="clear"/>
            <w:tcMar>
              <w:top w:type="dxa" w:w="100"/>
              <w:left w:type="dxa" w:w="140"/>
              <w:bottom w:type="dxa" w:w="100"/>
              <w:right w:type="dxa" w:w="140"/>
            </w:tcMar>
          </w:tcPr>
          <w:p>
            <w:r>
              <w:rPr>
                <w:b/>
                <w:bCs/>
                <w:color w:val="FFFFFF"/>
                <w:sz w:val="19"/>
                <w:szCs w:val="19"/>
              </w:rPr>
              <w:t xml:space="preserve">Key design notes</w:t>
            </w:r>
          </w:p>
        </w:tc>
      </w:tr>
      <w:tr>
        <w:tc>
          <w:tcPr>
            <w:tcW w:type="dxa" w:w="2600"/>
            <w:shd w:fill="F4F6F9" w:val="clear"/>
            <w:tcMar>
              <w:top w:type="dxa" w:w="100"/>
              <w:left w:type="dxa" w:w="140"/>
              <w:bottom w:type="dxa" w:w="100"/>
              <w:right w:type="dxa" w:w="140"/>
            </w:tcMar>
          </w:tcPr>
          <w:p>
            <w:r>
              <w:rPr>
                <w:sz w:val="19"/>
                <w:szCs w:val="19"/>
              </w:rPr>
              <w:t xml:space="preserve">InCallTrustIndicator</w:t>
            </w:r>
          </w:p>
        </w:tc>
        <w:tc>
          <w:tcPr>
            <w:tcW w:type="dxa" w:w="3400"/>
            <w:shd w:fill="F4F6F9" w:val="clear"/>
            <w:tcMar>
              <w:top w:type="dxa" w:w="100"/>
              <w:left w:type="dxa" w:w="140"/>
              <w:bottom w:type="dxa" w:w="100"/>
              <w:right w:type="dxa" w:w="140"/>
            </w:tcMar>
          </w:tcPr>
          <w:p>
            <w:r>
              <w:rPr>
                <w:sz w:val="19"/>
                <w:szCs w:val="19"/>
              </w:rPr>
              <w:t xml:space="preserve">The continuous, per-participant trust signal described in Section 6</w:t>
            </w:r>
          </w:p>
        </w:tc>
        <w:tc>
          <w:tcPr>
            <w:tcW w:type="dxa" w:w="3400"/>
            <w:shd w:fill="F4F6F9" w:val="clear"/>
            <w:tcMar>
              <w:top w:type="dxa" w:w="100"/>
              <w:left w:type="dxa" w:w="140"/>
              <w:bottom w:type="dxa" w:w="100"/>
              <w:right w:type="dxa" w:w="140"/>
            </w:tcMar>
          </w:tcPr>
          <w:p>
            <w:r>
              <w:rPr>
                <w:sz w:val="19"/>
                <w:szCs w:val="19"/>
              </w:rPr>
              <w:t xml:space="preserve">Implements all four states in Table 6.1; always renders with an accessible label, never relying on color alone (Version 1.0, Section 9.2)</w:t>
            </w:r>
          </w:p>
        </w:tc>
      </w:tr>
      <w:tr>
        <w:tc>
          <w:tcPr>
            <w:tcW w:type="dxa" w:w="2600"/>
            <w:shd w:fill="FFFFFF" w:val="clear"/>
            <w:tcMar>
              <w:top w:type="dxa" w:w="100"/>
              <w:left w:type="dxa" w:w="140"/>
              <w:bottom w:type="dxa" w:w="100"/>
              <w:right w:type="dxa" w:w="140"/>
            </w:tcMar>
          </w:tcPr>
          <w:p>
            <w:r>
              <w:rPr>
                <w:sz w:val="19"/>
                <w:szCs w:val="19"/>
              </w:rPr>
              <w:t xml:space="preserve">TrustTierBadge</w:t>
            </w:r>
          </w:p>
        </w:tc>
        <w:tc>
          <w:tcPr>
            <w:tcW w:type="dxa" w:w="3400"/>
            <w:shd w:fill="FFFFFF" w:val="clear"/>
            <w:tcMar>
              <w:top w:type="dxa" w:w="100"/>
              <w:left w:type="dxa" w:w="140"/>
              <w:bottom w:type="dxa" w:w="100"/>
              <w:right w:type="dxa" w:w="140"/>
            </w:tcMar>
          </w:tcPr>
          <w:p>
            <w:r>
              <w:rPr>
                <w:sz w:val="19"/>
                <w:szCs w:val="19"/>
              </w:rPr>
              <w:t xml:space="preserve">The Trusted Device Layer's tier display, described in Section 7</w:t>
            </w:r>
          </w:p>
        </w:tc>
        <w:tc>
          <w:tcPr>
            <w:tcW w:type="dxa" w:w="3400"/>
            <w:shd w:fill="FFFFFF" w:val="clear"/>
            <w:tcMar>
              <w:top w:type="dxa" w:w="100"/>
              <w:left w:type="dxa" w:w="140"/>
              <w:bottom w:type="dxa" w:w="100"/>
              <w:right w:type="dxa" w:w="140"/>
            </w:tcMar>
          </w:tcPr>
          <w:p>
            <w:r>
              <w:rPr>
                <w:sz w:val="19"/>
                <w:szCs w:val="19"/>
              </w:rPr>
              <w:t xml:space="preserve">Used in partner-facing dashboards and, where a partner chooses to surface it, in end-user-facing device-management screens</w:t>
            </w:r>
          </w:p>
        </w:tc>
      </w:tr>
      <w:tr>
        <w:tc>
          <w:tcPr>
            <w:tcW w:type="dxa" w:w="2600"/>
            <w:shd w:fill="F4F6F9" w:val="clear"/>
            <w:tcMar>
              <w:top w:type="dxa" w:w="100"/>
              <w:left w:type="dxa" w:w="140"/>
              <w:bottom w:type="dxa" w:w="100"/>
              <w:right w:type="dxa" w:w="140"/>
            </w:tcMar>
          </w:tcPr>
          <w:p>
            <w:r>
              <w:rPr>
                <w:sz w:val="19"/>
                <w:szCs w:val="19"/>
              </w:rPr>
              <w:t xml:space="preserve">ConsentStepper</w:t>
            </w:r>
          </w:p>
        </w:tc>
        <w:tc>
          <w:tcPr>
            <w:tcW w:type="dxa" w:w="3400"/>
            <w:shd w:fill="F4F6F9" w:val="clear"/>
            <w:tcMar>
              <w:top w:type="dxa" w:w="100"/>
              <w:left w:type="dxa" w:w="140"/>
              <w:bottom w:type="dxa" w:w="100"/>
              <w:right w:type="dxa" w:w="140"/>
            </w:tcMar>
          </w:tcPr>
          <w:p>
            <w:r>
              <w:rPr>
                <w:sz w:val="19"/>
                <w:szCs w:val="19"/>
              </w:rPr>
              <w:t xml:space="preserve">A two-step consent flow distinguishing base verification consent from Trusted Device Layer consent (Privacy Architecture, Document 10, Section 2.3, Version 2.0)</w:t>
            </w:r>
          </w:p>
        </w:tc>
        <w:tc>
          <w:tcPr>
            <w:tcW w:type="dxa" w:w="3400"/>
            <w:shd w:fill="F4F6F9" w:val="clear"/>
            <w:tcMar>
              <w:top w:type="dxa" w:w="100"/>
              <w:left w:type="dxa" w:w="140"/>
              <w:bottom w:type="dxa" w:w="100"/>
              <w:right w:type="dxa" w:w="140"/>
            </w:tcMar>
          </w:tcPr>
          <w:p>
            <w:r>
              <w:rPr>
                <w:sz w:val="19"/>
                <w:szCs w:val="19"/>
              </w:rPr>
              <w:t xml:space="preserve">Deliberately does not allow a single combined 'accept all' action that would blur the distinct-consent requirement — each step requires its own explicit action</w:t>
            </w:r>
          </w:p>
        </w:tc>
      </w:tr>
      <w:tr>
        <w:tc>
          <w:tcPr>
            <w:tcW w:type="dxa" w:w="2600"/>
            <w:shd w:fill="FFFFFF" w:val="clear"/>
            <w:tcMar>
              <w:top w:type="dxa" w:w="100"/>
              <w:left w:type="dxa" w:w="140"/>
              <w:bottom w:type="dxa" w:w="100"/>
              <w:right w:type="dxa" w:w="140"/>
            </w:tcMar>
          </w:tcPr>
          <w:p>
            <w:r>
              <w:rPr>
                <w:sz w:val="19"/>
                <w:szCs w:val="19"/>
              </w:rPr>
              <w:t xml:space="preserve">CallQualityImpactChart</w:t>
            </w:r>
          </w:p>
        </w:tc>
        <w:tc>
          <w:tcPr>
            <w:tcW w:type="dxa" w:w="3400"/>
            <w:shd w:fill="FFFFFF" w:val="clear"/>
            <w:tcMar>
              <w:top w:type="dxa" w:w="100"/>
              <w:left w:type="dxa" w:w="140"/>
              <w:bottom w:type="dxa" w:w="100"/>
              <w:right w:type="dxa" w:w="140"/>
            </w:tcMar>
          </w:tcPr>
          <w:p>
            <w:r>
              <w:rPr>
                <w:sz w:val="19"/>
                <w:szCs w:val="19"/>
              </w:rPr>
              <w:t xml:space="preserve">Partner-facing visualization of SDK resource overhead (CPU/battery/bandwidth) against the partner's agreed budget (Technical Requirements Document, NFR-C.2)</w:t>
            </w:r>
          </w:p>
        </w:tc>
        <w:tc>
          <w:tcPr>
            <w:tcW w:type="dxa" w:w="3400"/>
            <w:shd w:fill="FFFFFF" w:val="clear"/>
            <w:tcMar>
              <w:top w:type="dxa" w:w="100"/>
              <w:left w:type="dxa" w:w="140"/>
              <w:bottom w:type="dxa" w:w="100"/>
              <w:right w:type="dxa" w:w="140"/>
            </w:tcMar>
          </w:tcPr>
          <w:p>
            <w:r>
              <w:rPr>
                <w:sz w:val="19"/>
                <w:szCs w:val="19"/>
              </w:rPr>
              <w:t xml:space="preserve">Uses the same data-density-with-clarity principle as existing dashboard charts (Version 1.0, Section 1.1), not a new visual language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Design System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2026-07-07T05:46:40.581Z</dcterms:created>
  <dcterms:modified xsi:type="dcterms:W3CDTF">2026-07-07T05:46:40.582Z</dcterms:modified>
</cp:coreProperties>
</file>

<file path=docProps/custom.xml><?xml version="1.0" encoding="utf-8"?>
<Properties xmlns="http://schemas.openxmlformats.org/officeDocument/2006/custom-properties" xmlns:vt="http://schemas.openxmlformats.org/officeDocument/2006/docPropsVTypes"/>
</file>