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A2B4C"/>
          <w:sz w:val="72"/>
          <w:szCs w:val="72"/>
        </w:rPr>
        <w:t xml:space="preserve">CERTIVO</w:t>
      </w:r>
    </w:p>
    <w:p>
      <w:pPr>
        <w:spacing w:after="200" w:before="200"/>
        <w:jc w:val="center"/>
      </w:pPr>
      <w:r>
        <w:rPr>
          <w:i/>
          <w:iCs/>
          <w:color w:val="2E5EAA"/>
          <w:sz w:val="26"/>
          <w:szCs w:val="26"/>
        </w:rPr>
        <w:t xml:space="preserve">Trust Infrastructure for the Age of Artificial Intelligence</w:t>
      </w:r>
    </w:p>
    <w:p>
      <w:pPr>
        <w:spacing w:before="800"/>
        <w:jc w:val="center"/>
      </w:pPr>
      <w:r>
        <w:rPr>
          <w:b/>
          <w:bCs/>
          <w:color w:val="6B7280"/>
          <w:sz w:val="32"/>
          <w:szCs w:val="32"/>
        </w:rPr>
        <w:t xml:space="preserve">INTERNAL ENGINEERING HANDBOOK</w:t>
      </w:r>
    </w:p>
    <w:p>
      <w:pPr>
        <w:spacing w:before="200"/>
        <w:jc w:val="center"/>
      </w:pPr>
      <w:r>
        <w:rPr>
          <w:color w:val="6B7280"/>
          <w:sz w:val="20"/>
          <w:szCs w:val="20"/>
        </w:rPr>
        <w:t xml:space="preserve">Document 17 of 18 — Phase 8: Operations</w:t>
      </w:r>
    </w:p>
    <w:p>
      <w:pPr>
        <w:spacing w:before="100"/>
        <w:jc w:val="center"/>
      </w:pPr>
      <w:r>
        <w:rPr>
          <w:color w:val="6B7280"/>
          <w:sz w:val="18"/>
          <w:szCs w:val="18"/>
        </w:rPr>
        <w:t xml:space="preserve">Version 1.0  |  Confidential  |  Internal Use</w:t>
      </w:r>
    </w:p>
    <w:p>
      <w:r>
        <w:br w:type="page"/>
      </w:r>
    </w:p>
    <w:p>
      <w:pPr>
        <w:pStyle w:val="Heading1"/>
        <w:pageBreakBefore/>
        <w:spacing w:after="240" w:before="480"/>
      </w:pPr>
      <w:r>
        <w:rPr>
          <w:b/>
          <w:bCs/>
          <w:color w:val="1A2B4C"/>
          <w:sz w:val="32"/>
          <w:szCs w:val="32"/>
        </w:rPr>
        <w:t xml:space="preserve">1. Branching</w:t>
      </w:r>
    </w:p>
    <w:p>
      <w:pPr>
        <w:spacing w:after="200" w:line="300"/>
        <w:jc w:val="both"/>
      </w:pPr>
      <w:r>
        <w:rPr>
          <w:sz w:val="21"/>
          <w:szCs w:val="21"/>
        </w:rPr>
        <w:t xml:space="preserve">This document is the day-to-day engineering reference — how Certivo engineers actually work, expanding the version-control and process rules already stated in the constitution and the Technical Requirements Document (Document 4, Section 10) into concrete, followable practice for every engineer joining the team.</w:t>
      </w:r>
    </w:p>
    <w:p>
      <w:pPr>
        <w:pStyle w:val="Heading2"/>
        <w:spacing w:after="180" w:before="360"/>
      </w:pPr>
      <w:r>
        <w:rPr>
          <w:b/>
          <w:bCs/>
          <w:color w:val="2E5EAA"/>
          <w:sz w:val="26"/>
          <w:szCs w:val="26"/>
        </w:rPr>
        <w:t xml:space="preserve">1.1 Branching model</w:t>
      </w:r>
    </w:p>
    <w:p>
      <w:pPr>
        <w:pStyle w:val="ListParagraph"/>
        <w:numPr>
          <w:ilvl w:val="0"/>
          <w:numId w:val="2"/>
        </w:numPr>
        <w:spacing w:after="100" w:line="280"/>
      </w:pPr>
      <w:r>
        <w:rPr>
          <w:sz w:val="21"/>
          <w:szCs w:val="21"/>
        </w:rPr>
        <w:t xml:space="preserve">main is always deployable — every commit on main has passed the full CI pipeline (Technical Requirements Document, Document 4, Table 10.1) and represents a state that could be released.</w:t>
      </w:r>
    </w:p>
    <w:p>
      <w:pPr>
        <w:pStyle w:val="ListParagraph"/>
        <w:numPr>
          <w:ilvl w:val="0"/>
          <w:numId w:val="2"/>
        </w:numPr>
        <w:spacing w:after="100" w:line="280"/>
      </w:pPr>
      <w:r>
        <w:rPr>
          <w:sz w:val="21"/>
          <w:szCs w:val="21"/>
        </w:rPr>
        <w:t xml:space="preserve">All work happens on feature branches cut from main, named descriptively with a consistent prefix convention (e.g. feature/, fix/, chore/) so branch purpose is legible at a glance in any tooling.</w:t>
      </w:r>
    </w:p>
    <w:p>
      <w:pPr>
        <w:pStyle w:val="ListParagraph"/>
        <w:numPr>
          <w:ilvl w:val="0"/>
          <w:numId w:val="2"/>
        </w:numPr>
        <w:spacing w:after="100" w:line="280"/>
      </w:pPr>
      <w:r>
        <w:rPr>
          <w:sz w:val="21"/>
          <w:szCs w:val="21"/>
        </w:rPr>
        <w:t xml:space="preserve">Feature branches are kept short-lived — merged within days, not weeks, to minimize merge conflict risk and keep code review scope manageable; a feature large enough to need a long-lived branch is split into smaller, independently mergeable increments instead.</w:t>
      </w:r>
    </w:p>
    <w:p>
      <w:pPr>
        <w:pStyle w:val="ListParagraph"/>
        <w:numPr>
          <w:ilvl w:val="0"/>
          <w:numId w:val="2"/>
        </w:numPr>
        <w:spacing w:after="100" w:line="280"/>
      </w:pPr>
      <w:r>
        <w:rPr>
          <w:sz w:val="21"/>
          <w:szCs w:val="21"/>
        </w:rPr>
        <w:t xml:space="preserve">No direct commits to main are technically possible — branch protection rules enforce this at the repository level (Technical Requirements Document, Document 4, Section 10.2), not merely by convention or trust.</w:t>
      </w:r>
    </w:p>
    <w:p>
      <w:pPr>
        <w:pStyle w:val="Heading2"/>
        <w:spacing w:after="180" w:before="360"/>
      </w:pPr>
      <w:r>
        <w:rPr>
          <w:b/>
          <w:bCs/>
          <w:color w:val="2E5EAA"/>
          <w:sz w:val="26"/>
          <w:szCs w:val="26"/>
        </w:rPr>
        <w:t xml:space="preserve">1.2 Working across the service catalog</w:t>
      </w:r>
    </w:p>
    <w:p>
      <w:pPr>
        <w:spacing w:after="200" w:line="300"/>
        <w:jc w:val="both"/>
      </w:pPr>
      <w:r>
        <w:rPr>
          <w:sz w:val="21"/>
          <w:szCs w:val="21"/>
        </w:rPr>
        <w:t xml:space="preserve">Because the platform is a service-oriented architecture (Technical Requirements Document, Document 4, Table 1.1), most feature branches touch a single service's repository. Changes that span multiple services (e.g. a new field added to an API contract consumed by another service) are sequenced deliberately: the producing service's change ships and is deployed first with backward-compatible additive changes (Technical Requirements Document, Document 4, Section 16.3's schema evolution policy), and the consuming service's change follows once the new field is reliably available — never a simultaneous, coupled deployment across services, which would undermine the independent-deployability principle (Technical Requirements Document, Document 4, Section 1.1).</w:t>
      </w:r>
    </w:p>
    <w:p>
      <w:pPr>
        <w:pStyle w:val="Heading2"/>
        <w:spacing w:after="180" w:before="360"/>
      </w:pPr>
      <w:r>
        <w:rPr>
          <w:b/>
          <w:bCs/>
          <w:color w:val="2E5EAA"/>
          <w:sz w:val="26"/>
          <w:szCs w:val="26"/>
        </w:rPr>
        <w:t xml:space="preserve">1.3 Commit hygiene</w:t>
      </w:r>
    </w:p>
    <w:p>
      <w:pPr>
        <w:spacing w:after="200" w:line="300"/>
        <w:jc w:val="both"/>
      </w:pPr>
      <w:r>
        <w:rPr>
          <w:sz w:val="21"/>
          <w:szCs w:val="21"/>
        </w:rPr>
        <w:t xml:space="preserve">Commit messages follow the Conventional Commits format (feat:, fix:, chore:, docs:, refactor:, test:, per the Technical Requirements Document, Document 4, Section 10.2), enabling automated changelog generation and semantic-version determination (Section 5 of this document). Commits are kept logically scoped — a single commit does one coherent thing, making git history genuinely useful for future debugging (e.g. git bisect) rather than a sequence of opaque 'wip' commits.</w:t>
      </w:r>
    </w:p>
    <w:p>
      <w:pPr>
        <w:pStyle w:val="Heading1"/>
        <w:pageBreakBefore/>
        <w:spacing w:after="240" w:before="480"/>
      </w:pPr>
      <w:r>
        <w:rPr>
          <w:b/>
          <w:bCs/>
          <w:color w:val="1A2B4C"/>
          <w:sz w:val="32"/>
          <w:szCs w:val="32"/>
        </w:rPr>
        <w:t xml:space="preserve">2. Reviews</w:t>
      </w:r>
    </w:p>
    <w:p>
      <w:pPr>
        <w:pStyle w:val="Heading2"/>
        <w:spacing w:after="180" w:before="360"/>
      </w:pPr>
      <w:r>
        <w:rPr>
          <w:b/>
          <w:bCs/>
          <w:color w:val="2E5EAA"/>
          <w:sz w:val="26"/>
          <w:szCs w:val="26"/>
        </w:rPr>
        <w:t xml:space="preserve">2.1 Review requirements</w:t>
      </w:r>
    </w:p>
    <w:p>
      <w:pPr>
        <w:spacing w:after="200" w:line="300"/>
        <w:jc w:val="both"/>
      </w:pPr>
      <w:r>
        <w:rPr>
          <w:sz w:val="21"/>
          <w:szCs w:val="21"/>
        </w:rPr>
        <w:t xml:space="preserve">Every pull request requires at least one approving review before merge, enforced by branch protection (Technical Requirements Document, Document 4, Section 10.2). For changes touching the biometric perimeter (Technical Requirements Document, Document 4, Section 1.5), authentication, encryption, or the cryptographic attestation chain (Security Architecture, Document 9, Section 1.3), a second review from an engineer with specific security context is required — these are the subsystems the entire platform's trust proposition depends on, and a single-reviewer bar is not sufficient given the stakes.</w:t>
      </w:r>
    </w:p>
    <w:p>
      <w:pPr>
        <w:pStyle w:val="Heading2"/>
        <w:spacing w:after="180" w:before="360"/>
      </w:pPr>
      <w:r>
        <w:rPr>
          <w:b/>
          <w:bCs/>
          <w:color w:val="2E5EAA"/>
          <w:sz w:val="26"/>
          <w:szCs w:val="26"/>
        </w:rPr>
        <w:t xml:space="preserve">2.2 What a reviewer checks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A2B4C" w:val="clear"/>
            <w:tcMar>
              <w:top w:type="dxa" w:w="100"/>
              <w:left w:type="dxa" w:w="140"/>
              <w:bottom w:type="dxa" w:w="100"/>
              <w:right w:type="dxa" w:w="140"/>
            </w:tcMar>
          </w:tcPr>
          <w:p>
            <w:r>
              <w:rPr>
                <w:b/>
                <w:bCs/>
                <w:color w:val="FFFFFF"/>
                <w:sz w:val="19"/>
                <w:szCs w:val="19"/>
              </w:rPr>
              <w:t xml:space="preserve">Review dimension</w:t>
            </w:r>
          </w:p>
        </w:tc>
        <w:tc>
          <w:tcPr>
            <w:tcW w:type="dxa" w:w="6800"/>
            <w:shd w:fill="1A2B4C" w:val="clear"/>
            <w:tcMar>
              <w:top w:type="dxa" w:w="100"/>
              <w:left w:type="dxa" w:w="140"/>
              <w:bottom w:type="dxa" w:w="100"/>
              <w:right w:type="dxa" w:w="140"/>
            </w:tcMar>
          </w:tcPr>
          <w:p>
            <w:r>
              <w:rPr>
                <w:b/>
                <w:bCs/>
                <w:color w:val="FFFFFF"/>
                <w:sz w:val="19"/>
                <w:szCs w:val="19"/>
              </w:rPr>
              <w:t xml:space="preserve">What the reviewer verifies</w:t>
            </w:r>
          </w:p>
        </w:tc>
      </w:tr>
      <w:tr>
        <w:tc>
          <w:tcPr>
            <w:tcW w:type="dxa" w:w="2600"/>
            <w:shd w:fill="F4F6F9" w:val="clear"/>
            <w:tcMar>
              <w:top w:type="dxa" w:w="100"/>
              <w:left w:type="dxa" w:w="140"/>
              <w:bottom w:type="dxa" w:w="100"/>
              <w:right w:type="dxa" w:w="140"/>
            </w:tcMar>
          </w:tcPr>
          <w:p>
            <w:r>
              <w:rPr>
                <w:sz w:val="19"/>
                <w:szCs w:val="19"/>
              </w:rPr>
              <w:t xml:space="preserve">Correctness</w:t>
            </w:r>
          </w:p>
        </w:tc>
        <w:tc>
          <w:tcPr>
            <w:tcW w:type="dxa" w:w="6800"/>
            <w:shd w:fill="F4F6F9" w:val="clear"/>
            <w:tcMar>
              <w:top w:type="dxa" w:w="100"/>
              <w:left w:type="dxa" w:w="140"/>
              <w:bottom w:type="dxa" w:w="100"/>
              <w:right w:type="dxa" w:w="140"/>
            </w:tcMar>
          </w:tcPr>
          <w:p>
            <w:r>
              <w:rPr>
                <w:sz w:val="19"/>
                <w:szCs w:val="19"/>
              </w:rPr>
              <w:t xml:space="preserve">The code does what the PR description claims, and handles the edge cases a careful reading of the requirement suggests it should</w:t>
            </w:r>
          </w:p>
        </w:tc>
      </w:tr>
      <w:tr>
        <w:tc>
          <w:tcPr>
            <w:tcW w:type="dxa" w:w="2600"/>
            <w:shd w:fill="FFFFFF" w:val="clear"/>
            <w:tcMar>
              <w:top w:type="dxa" w:w="100"/>
              <w:left w:type="dxa" w:w="140"/>
              <w:bottom w:type="dxa" w:w="100"/>
              <w:right w:type="dxa" w:w="140"/>
            </w:tcMar>
          </w:tcPr>
          <w:p>
            <w:r>
              <w:rPr>
                <w:sz w:val="19"/>
                <w:szCs w:val="19"/>
              </w:rPr>
              <w:t xml:space="preserve">Test coverage</w:t>
            </w:r>
          </w:p>
        </w:tc>
        <w:tc>
          <w:tcPr>
            <w:tcW w:type="dxa" w:w="6800"/>
            <w:shd w:fill="FFFFFF" w:val="clear"/>
            <w:tcMar>
              <w:top w:type="dxa" w:w="100"/>
              <w:left w:type="dxa" w:w="140"/>
              <w:bottom w:type="dxa" w:w="100"/>
              <w:right w:type="dxa" w:w="140"/>
            </w:tcMar>
          </w:tcPr>
          <w:p>
            <w:r>
              <w:rPr>
                <w:sz w:val="19"/>
                <w:szCs w:val="19"/>
              </w:rPr>
              <w:t xml:space="preserve">Unit, integration, API, security, and performance tests exist as appropriate to the change, per the testing standards (Technical Requirements Document, Document 4, Section 12.6) — a PR without tests appropriate to its risk level is not approved regardless of how correct the code appears</w:t>
            </w:r>
          </w:p>
        </w:tc>
      </w:tr>
      <w:tr>
        <w:tc>
          <w:tcPr>
            <w:tcW w:type="dxa" w:w="2600"/>
            <w:shd w:fill="F4F6F9" w:val="clear"/>
            <w:tcMar>
              <w:top w:type="dxa" w:w="100"/>
              <w:left w:type="dxa" w:w="140"/>
              <w:bottom w:type="dxa" w:w="100"/>
              <w:right w:type="dxa" w:w="140"/>
            </w:tcMar>
          </w:tcPr>
          <w:p>
            <w:r>
              <w:rPr>
                <w:sz w:val="19"/>
                <w:szCs w:val="19"/>
              </w:rPr>
              <w:t xml:space="preserve">Documentation</w:t>
            </w:r>
          </w:p>
        </w:tc>
        <w:tc>
          <w:tcPr>
            <w:tcW w:type="dxa" w:w="6800"/>
            <w:shd w:fill="F4F6F9" w:val="clear"/>
            <w:tcMar>
              <w:top w:type="dxa" w:w="100"/>
              <w:left w:type="dxa" w:w="140"/>
              <w:bottom w:type="dxa" w:w="100"/>
              <w:right w:type="dxa" w:w="140"/>
            </w:tcMar>
          </w:tcPr>
          <w:p>
            <w:r>
              <w:rPr>
                <w:sz w:val="19"/>
                <w:szCs w:val="19"/>
              </w:rPr>
              <w:t xml:space="preserve">Module-level and function-level documentation (Technical Requirements Document, Document 4, Section 12.4) is present and accurate for any new or changed public interface</w:t>
            </w:r>
          </w:p>
        </w:tc>
      </w:tr>
      <w:tr>
        <w:tc>
          <w:tcPr>
            <w:tcW w:type="dxa" w:w="2600"/>
            <w:shd w:fill="FFFFFF" w:val="clear"/>
            <w:tcMar>
              <w:top w:type="dxa" w:w="100"/>
              <w:left w:type="dxa" w:w="140"/>
              <w:bottom w:type="dxa" w:w="100"/>
              <w:right w:type="dxa" w:w="140"/>
            </w:tcMar>
          </w:tcPr>
          <w:p>
            <w:r>
              <w:rPr>
                <w:sz w:val="19"/>
                <w:szCs w:val="19"/>
              </w:rPr>
              <w:t xml:space="preserve">Architecture fit</w:t>
            </w:r>
          </w:p>
        </w:tc>
        <w:tc>
          <w:tcPr>
            <w:tcW w:type="dxa" w:w="6800"/>
            <w:shd w:fill="FFFFFF" w:val="clear"/>
            <w:tcMar>
              <w:top w:type="dxa" w:w="100"/>
              <w:left w:type="dxa" w:w="140"/>
              <w:bottom w:type="dxa" w:w="100"/>
              <w:right w:type="dxa" w:w="140"/>
            </w:tcMar>
          </w:tcPr>
          <w:p>
            <w:r>
              <w:rPr>
                <w:sz w:val="19"/>
                <w:szCs w:val="19"/>
              </w:rPr>
              <w:t xml:space="preserve">The change respects service boundaries (Technical Requirements Document, Document 4, Section 1.1) and doesn't introduce an undocumented cross-service dependency or bypass the layering within a service (Section 3.1)</w:t>
            </w:r>
          </w:p>
        </w:tc>
      </w:tr>
      <w:tr>
        <w:tc>
          <w:tcPr>
            <w:tcW w:type="dxa" w:w="2600"/>
            <w:shd w:fill="F4F6F9" w:val="clear"/>
            <w:tcMar>
              <w:top w:type="dxa" w:w="100"/>
              <w:left w:type="dxa" w:w="140"/>
              <w:bottom w:type="dxa" w:w="100"/>
              <w:right w:type="dxa" w:w="140"/>
            </w:tcMar>
          </w:tcPr>
          <w:p>
            <w:r>
              <w:rPr>
                <w:sz w:val="19"/>
                <w:szCs w:val="19"/>
              </w:rPr>
              <w:t xml:space="preserve">Security and privacy</w:t>
            </w:r>
          </w:p>
        </w:tc>
        <w:tc>
          <w:tcPr>
            <w:tcW w:type="dxa" w:w="6800"/>
            <w:shd w:fill="F4F6F9" w:val="clear"/>
            <w:tcMar>
              <w:top w:type="dxa" w:w="100"/>
              <w:left w:type="dxa" w:w="140"/>
              <w:bottom w:type="dxa" w:w="100"/>
              <w:right w:type="dxa" w:w="140"/>
            </w:tcMar>
          </w:tcPr>
          <w:p>
            <w:r>
              <w:rPr>
                <w:sz w:val="19"/>
                <w:szCs w:val="19"/>
              </w:rPr>
              <w:t xml:space="preserve">No hardcoded secrets, no unvalidated input, no new biometric data path outside the perimeter (Section 1.5), no new data collection without a privacy-by-design checklist pass (Technical Requirements Document, Document 4, Section 7.5)</w:t>
            </w:r>
          </w:p>
        </w:tc>
      </w:tr>
      <w:tr>
        <w:tc>
          <w:tcPr>
            <w:tcW w:type="dxa" w:w="2600"/>
            <w:shd w:fill="FFFFFF" w:val="clear"/>
            <w:tcMar>
              <w:top w:type="dxa" w:w="100"/>
              <w:left w:type="dxa" w:w="140"/>
              <w:bottom w:type="dxa" w:w="100"/>
              <w:right w:type="dxa" w:w="140"/>
            </w:tcMar>
          </w:tcPr>
          <w:p>
            <w:r>
              <w:rPr>
                <w:sz w:val="19"/>
                <w:szCs w:val="19"/>
              </w:rPr>
              <w:t xml:space="preserve">Dependency justification</w:t>
            </w:r>
          </w:p>
        </w:tc>
        <w:tc>
          <w:tcPr>
            <w:tcW w:type="dxa" w:w="6800"/>
            <w:shd w:fill="FFFFFF" w:val="clear"/>
            <w:tcMar>
              <w:top w:type="dxa" w:w="100"/>
              <w:left w:type="dxa" w:w="140"/>
              <w:bottom w:type="dxa" w:w="100"/>
              <w:right w:type="dxa" w:w="140"/>
            </w:tcMar>
          </w:tcPr>
          <w:p>
            <w:r>
              <w:rPr>
                <w:sz w:val="19"/>
                <w:szCs w:val="19"/>
              </w:rPr>
              <w:t xml:space="preserve">Any new third-party dependency includes the justification required by the Technical Requirements Document (Document 4, Section 12.5)</w:t>
            </w:r>
          </w:p>
        </w:tc>
      </w:tr>
    </w:tbl>
    <w:p>
      <w:pPr>
        <w:spacing w:after="260" w:before="80"/>
      </w:pPr>
      <w:r>
        <w:rPr>
          <w:i/>
          <w:iCs/>
          <w:color w:val="6B7280"/>
          <w:sz w:val="18"/>
          <w:szCs w:val="18"/>
        </w:rPr>
        <w:t xml:space="preserve">Table 2.1 — What a code reviewer checks, mapped to the specific standards each check enforces.</w:t>
      </w:r>
    </w:p>
    <w:p>
      <w:pPr>
        <w:pStyle w:val="Heading2"/>
        <w:spacing w:after="180" w:before="360"/>
      </w:pPr>
      <w:r>
        <w:rPr>
          <w:b/>
          <w:bCs/>
          <w:color w:val="2E5EAA"/>
          <w:sz w:val="26"/>
          <w:szCs w:val="26"/>
        </w:rPr>
        <w:t xml:space="preserve">2.3 Review culture</w:t>
      </w:r>
    </w:p>
    <w:p>
      <w:pPr>
        <w:spacing w:after="200" w:line="300"/>
        <w:jc w:val="both"/>
      </w:pPr>
      <w:r>
        <w:rPr>
          <w:sz w:val="21"/>
          <w:szCs w:val="21"/>
        </w:rPr>
        <w:t xml:space="preserve">Code review is a collaborative quality mechanism, not a gate to be minimized or a personal judgment of the author — reviewers frame feedback around the code and the standards it should meet, not the person who wrote it, and authors treat review feedback as a normal, expected part of shipping quality work rather than criticism to be defensive about. A reviewer who repeatedly rubber-stamps without genuine review, and an author who repeatedly resists well-founded feedback, are both patterns the team addresses directly and early, since either one silently erodes the value of the review requirement over time.</w:t>
      </w:r>
    </w:p>
    <w:p>
      <w:pPr>
        <w:pStyle w:val="Heading2"/>
        <w:spacing w:after="180" w:before="360"/>
      </w:pPr>
      <w:r>
        <w:rPr>
          <w:b/>
          <w:bCs/>
          <w:color w:val="2E5EAA"/>
          <w:sz w:val="26"/>
          <w:szCs w:val="26"/>
        </w:rPr>
        <w:t xml:space="preserve">2.4 Review turnaround expectations</w:t>
      </w:r>
    </w:p>
    <w:p>
      <w:pPr>
        <w:spacing w:after="200" w:line="300"/>
        <w:jc w:val="both"/>
      </w:pPr>
      <w:r>
        <w:rPr>
          <w:sz w:val="21"/>
          <w:szCs w:val="21"/>
        </w:rPr>
        <w:t xml:space="preserve">Reviewers aim to provide initial feedback within one business day of a PR being opened, keeping the short-lived-branch practice (Section 1.1) realistic — a review process that routinely takes a week undermines the entire branching model's assumptions and pushes engineers toward larger, riskier, longer-lived branches to avoid review-queue friction.</w:t>
      </w:r>
    </w:p>
    <w:p>
      <w:pPr>
        <w:pStyle w:val="Heading1"/>
        <w:pageBreakBefore/>
        <w:spacing w:after="240" w:before="480"/>
      </w:pPr>
      <w:r>
        <w:rPr>
          <w:b/>
          <w:bCs/>
          <w:color w:val="1A2B4C"/>
          <w:sz w:val="32"/>
          <w:szCs w:val="32"/>
        </w:rPr>
        <w:t xml:space="preserve">3. Coding Standards (Day-to-Day Reference)</w:t>
      </w:r>
    </w:p>
    <w:p>
      <w:pPr>
        <w:spacing w:after="200" w:line="300"/>
        <w:jc w:val="both"/>
      </w:pPr>
      <w:r>
        <w:rPr>
          <w:sz w:val="21"/>
          <w:szCs w:val="21"/>
        </w:rPr>
        <w:t xml:space="preserve">The authoritative coding standards are specified in the Technical Requirements Document (Document 4, Section 12). This section is a condensed, quick-reference version for daily use — if anything here appears to conflict with Document 4, Document 4 governs.</w:t>
      </w:r>
    </w:p>
    <w:p>
      <w:pPr>
        <w:pStyle w:val="Heading2"/>
        <w:spacing w:after="180" w:before="360"/>
      </w:pPr>
      <w:r>
        <w:rPr>
          <w:b/>
          <w:bCs/>
          <w:color w:val="2E5EAA"/>
          <w:sz w:val="26"/>
          <w:szCs w:val="26"/>
        </w:rPr>
        <w:t xml:space="preserve">3.1 Quick-reference checklist</w:t>
      </w:r>
    </w:p>
    <w:p>
      <w:pPr>
        <w:pStyle w:val="ListParagraph"/>
        <w:numPr>
          <w:ilvl w:val="0"/>
          <w:numId w:val="2"/>
        </w:numPr>
        <w:spacing w:after="100" w:line="280"/>
      </w:pPr>
      <w:r>
        <w:rPr>
          <w:sz w:val="21"/>
          <w:szCs w:val="21"/>
        </w:rPr>
        <w:t xml:space="preserve">Strict type hints (Python) / strict mode (TypeScript) on every new function and interface — no untyped new code.</w:t>
      </w:r>
    </w:p>
    <w:p>
      <w:pPr>
        <w:pStyle w:val="ListParagraph"/>
        <w:numPr>
          <w:ilvl w:val="0"/>
          <w:numId w:val="2"/>
        </w:numPr>
        <w:spacing w:after="100" w:line="280"/>
      </w:pPr>
      <w:r>
        <w:rPr>
          <w:sz w:val="21"/>
          <w:szCs w:val="21"/>
        </w:rPr>
        <w:t xml:space="preserve">Meaningful, unabbreviated names; a function's purpose should be inferable from its signature.</w:t>
      </w:r>
    </w:p>
    <w:p>
      <w:pPr>
        <w:pStyle w:val="ListParagraph"/>
        <w:numPr>
          <w:ilvl w:val="0"/>
          <w:numId w:val="2"/>
        </w:numPr>
        <w:spacing w:after="100" w:line="280"/>
      </w:pPr>
      <w:r>
        <w:rPr>
          <w:sz w:val="21"/>
          <w:szCs w:val="21"/>
        </w:rPr>
        <w:t xml:space="preserve">Single-responsibility functions, generally under ~40-50 lines before extracting sub-functions.</w:t>
      </w:r>
    </w:p>
    <w:p>
      <w:pPr>
        <w:pStyle w:val="ListParagraph"/>
        <w:numPr>
          <w:ilvl w:val="0"/>
          <w:numId w:val="2"/>
        </w:numPr>
        <w:spacing w:after="100" w:line="280"/>
      </w:pPr>
      <w:r>
        <w:rPr>
          <w:sz w:val="21"/>
          <w:szCs w:val="21"/>
        </w:rPr>
        <w:t xml:space="preserve">No unnecessary comments — code should explain 'what' through structure and naming; comments are reserved for non-obvious 'why.'</w:t>
      </w:r>
    </w:p>
    <w:p>
      <w:pPr>
        <w:pStyle w:val="ListParagraph"/>
        <w:numPr>
          <w:ilvl w:val="0"/>
          <w:numId w:val="2"/>
        </w:numPr>
        <w:spacing w:after="100" w:line="280"/>
      </w:pPr>
      <w:r>
        <w:rPr>
          <w:sz w:val="21"/>
          <w:szCs w:val="21"/>
        </w:rPr>
        <w:t xml:space="preserve">Every module has the mandatory header docstring (Purpose, Architecture, Dependencies, Inputs, Outputs, Security considerations, Failure modes, Future improvements), per Technical Requirements Document Figure 12.1.</w:t>
      </w:r>
    </w:p>
    <w:p>
      <w:pPr>
        <w:pStyle w:val="ListParagraph"/>
        <w:numPr>
          <w:ilvl w:val="0"/>
          <w:numId w:val="2"/>
        </w:numPr>
        <w:spacing w:after="100" w:line="280"/>
      </w:pPr>
      <w:r>
        <w:rPr>
          <w:sz w:val="21"/>
          <w:szCs w:val="21"/>
        </w:rPr>
        <w:t xml:space="preserve">Every new third-party dependency includes a brief written justification in the PR description.</w:t>
      </w:r>
    </w:p>
    <w:p>
      <w:pPr>
        <w:pStyle w:val="ListParagraph"/>
        <w:numPr>
          <w:ilvl w:val="0"/>
          <w:numId w:val="2"/>
        </w:numPr>
        <w:spacing w:after="100" w:line="280"/>
      </w:pPr>
      <w:r>
        <w:rPr>
          <w:sz w:val="21"/>
          <w:szCs w:val="21"/>
        </w:rPr>
        <w:t xml:space="preserve">Never a hardcoded value that belongs in configuration — environment-specific values are always externalized (Technical Requirements Document, Document 4, Section 11.3).</w:t>
      </w:r>
    </w:p>
    <w:p>
      <w:pPr>
        <w:pStyle w:val="Heading2"/>
        <w:spacing w:after="180" w:before="360"/>
      </w:pPr>
      <w:r>
        <w:rPr>
          <w:b/>
          <w:bCs/>
          <w:color w:val="2E5EAA"/>
          <w:sz w:val="26"/>
          <w:szCs w:val="26"/>
        </w:rPr>
        <w:t xml:space="preserve">3.2 Linting and formatting are non-negotiable, not stylistic preference</w:t>
      </w:r>
    </w:p>
    <w:p>
      <w:pPr>
        <w:spacing w:after="200" w:line="300"/>
        <w:jc w:val="both"/>
      </w:pPr>
      <w:r>
        <w:rPr>
          <w:sz w:val="21"/>
          <w:szCs w:val="21"/>
        </w:rPr>
        <w:t xml:space="preserve">Ruff (Python) and ESLint/Prettier (TypeScript) run automatically in CI and as pre-commit hooks locally — style debates are settled by the linter configuration, not by individual reviewer preference in a PR thread, freeing code review time for the substantive checks in Section 2.2 rather than formatting nitpicks.</w:t>
      </w:r>
    </w:p>
    <w:p>
      <w:pPr>
        <w:pStyle w:val="Heading1"/>
        <w:pageBreakBefore/>
        <w:spacing w:after="240" w:before="480"/>
      </w:pPr>
      <w:r>
        <w:rPr>
          <w:b/>
          <w:bCs/>
          <w:color w:val="1A2B4C"/>
          <w:sz w:val="32"/>
          <w:szCs w:val="32"/>
        </w:rPr>
        <w:t xml:space="preserve">4. Documentation</w:t>
      </w:r>
    </w:p>
    <w:p>
      <w:pPr>
        <w:spacing w:after="200" w:line="300"/>
        <w:jc w:val="both"/>
      </w:pPr>
      <w:r>
        <w:rPr>
          <w:sz w:val="21"/>
          <w:szCs w:val="21"/>
        </w:rPr>
        <w:t xml:space="preserve">This section operationalizes the constitution's documentation requirements and the Technical Requirements Document's mandatory-documentation standard (Document 4, Section 12.4) into concrete practice for where and how documentation actually gets written and kept current.</w:t>
      </w:r>
    </w:p>
    <w:p>
      <w:pPr>
        <w:pStyle w:val="Heading2"/>
        <w:spacing w:after="180" w:before="360"/>
      </w:pPr>
      <w:r>
        <w:rPr>
          <w:b/>
          <w:bCs/>
          <w:color w:val="2E5EAA"/>
          <w:sz w:val="26"/>
          <w:szCs w:val="26"/>
        </w:rPr>
        <w:t xml:space="preserve">4.1 Where documentation lives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3200"/>
      </w:tblGrid>
      <w:tr>
        <w:trPr>
          <w:tblHeader/>
        </w:trPr>
        <w:tc>
          <w:tcPr>
            <w:tcW w:type="dxa" w:w="2600"/>
            <w:shd w:fill="1A2B4C" w:val="clear"/>
            <w:tcMar>
              <w:top w:type="dxa" w:w="100"/>
              <w:left w:type="dxa" w:w="140"/>
              <w:bottom w:type="dxa" w:w="100"/>
              <w:right w:type="dxa" w:w="140"/>
            </w:tcMar>
          </w:tcPr>
          <w:p>
            <w:r>
              <w:rPr>
                <w:b/>
                <w:bCs/>
                <w:color w:val="FFFFFF"/>
                <w:sz w:val="19"/>
                <w:szCs w:val="19"/>
              </w:rPr>
              <w:t xml:space="preserve">Documentation type</w:t>
            </w:r>
          </w:p>
        </w:tc>
        <w:tc>
          <w:tcPr>
            <w:tcW w:type="dxa" w:w="4000"/>
            <w:shd w:fill="1A2B4C" w:val="clear"/>
            <w:tcMar>
              <w:top w:type="dxa" w:w="100"/>
              <w:left w:type="dxa" w:w="140"/>
              <w:bottom w:type="dxa" w:w="100"/>
              <w:right w:type="dxa" w:w="140"/>
            </w:tcMar>
          </w:tcPr>
          <w:p>
            <w:r>
              <w:rPr>
                <w:b/>
                <w:bCs/>
                <w:color w:val="FFFFFF"/>
                <w:sz w:val="19"/>
                <w:szCs w:val="19"/>
              </w:rPr>
              <w:t xml:space="preserve">Location</w:t>
            </w:r>
          </w:p>
        </w:tc>
        <w:tc>
          <w:tcPr>
            <w:tcW w:type="dxa" w:w="3200"/>
            <w:shd w:fill="1A2B4C" w:val="clear"/>
            <w:tcMar>
              <w:top w:type="dxa" w:w="100"/>
              <w:left w:type="dxa" w:w="140"/>
              <w:bottom w:type="dxa" w:w="100"/>
              <w:right w:type="dxa" w:w="140"/>
            </w:tcMar>
          </w:tcPr>
          <w:p>
            <w:r>
              <w:rPr>
                <w:b/>
                <w:bCs/>
                <w:color w:val="FFFFFF"/>
                <w:sz w:val="19"/>
                <w:szCs w:val="19"/>
              </w:rPr>
              <w:t xml:space="preserve">Kept current by</w:t>
            </w:r>
          </w:p>
        </w:tc>
      </w:tr>
      <w:tr>
        <w:tc>
          <w:tcPr>
            <w:tcW w:type="dxa" w:w="2600"/>
            <w:shd w:fill="F4F6F9" w:val="clear"/>
            <w:tcMar>
              <w:top w:type="dxa" w:w="100"/>
              <w:left w:type="dxa" w:w="140"/>
              <w:bottom w:type="dxa" w:w="100"/>
              <w:right w:type="dxa" w:w="140"/>
            </w:tcMar>
          </w:tcPr>
          <w:p>
            <w:r>
              <w:rPr>
                <w:sz w:val="19"/>
                <w:szCs w:val="19"/>
              </w:rPr>
              <w:t xml:space="preserve">Module/function-level docs</w:t>
            </w:r>
          </w:p>
        </w:tc>
        <w:tc>
          <w:tcPr>
            <w:tcW w:type="dxa" w:w="4000"/>
            <w:shd w:fill="F4F6F9" w:val="clear"/>
            <w:tcMar>
              <w:top w:type="dxa" w:w="100"/>
              <w:left w:type="dxa" w:w="140"/>
              <w:bottom w:type="dxa" w:w="100"/>
              <w:right w:type="dxa" w:w="140"/>
            </w:tcMar>
          </w:tcPr>
          <w:p>
            <w:r>
              <w:rPr>
                <w:sz w:val="19"/>
                <w:szCs w:val="19"/>
              </w:rPr>
              <w:t xml:space="preserve">Docstrings in source code (Technical Requirements Document, Document 4, Figure 12.1)</w:t>
            </w:r>
          </w:p>
        </w:tc>
        <w:tc>
          <w:tcPr>
            <w:tcW w:type="dxa" w:w="3200"/>
            <w:shd w:fill="F4F6F9" w:val="clear"/>
            <w:tcMar>
              <w:top w:type="dxa" w:w="100"/>
              <w:left w:type="dxa" w:w="140"/>
              <w:bottom w:type="dxa" w:w="100"/>
              <w:right w:type="dxa" w:w="140"/>
            </w:tcMar>
          </w:tcPr>
          <w:p>
            <w:r>
              <w:rPr>
                <w:sz w:val="19"/>
                <w:szCs w:val="19"/>
              </w:rPr>
              <w:t xml:space="preserve">Required as part of every PR touching that module (Section 2.2)</w:t>
            </w:r>
          </w:p>
        </w:tc>
      </w:tr>
      <w:tr>
        <w:tc>
          <w:tcPr>
            <w:tcW w:type="dxa" w:w="2600"/>
            <w:shd w:fill="FFFFFF" w:val="clear"/>
            <w:tcMar>
              <w:top w:type="dxa" w:w="100"/>
              <w:left w:type="dxa" w:w="140"/>
              <w:bottom w:type="dxa" w:w="100"/>
              <w:right w:type="dxa" w:w="140"/>
            </w:tcMar>
          </w:tcPr>
          <w:p>
            <w:r>
              <w:rPr>
                <w:sz w:val="19"/>
                <w:szCs w:val="19"/>
              </w:rPr>
              <w:t xml:space="preserve">API reference</w:t>
            </w:r>
          </w:p>
        </w:tc>
        <w:tc>
          <w:tcPr>
            <w:tcW w:type="dxa" w:w="4000"/>
            <w:shd w:fill="FFFFFF" w:val="clear"/>
            <w:tcMar>
              <w:top w:type="dxa" w:w="100"/>
              <w:left w:type="dxa" w:w="140"/>
              <w:bottom w:type="dxa" w:w="100"/>
              <w:right w:type="dxa" w:w="140"/>
            </w:tcMar>
          </w:tcPr>
          <w:p>
            <w:r>
              <w:rPr>
                <w:sz w:val="19"/>
                <w:szCs w:val="19"/>
              </w:rPr>
              <w:t xml:space="preserve">Auto-generated from OpenAPI schema (Technical Requirements Document, Document 4, Section 13.4)</w:t>
            </w:r>
          </w:p>
        </w:tc>
        <w:tc>
          <w:tcPr>
            <w:tcW w:type="dxa" w:w="3200"/>
            <w:shd w:fill="FFFFFF" w:val="clear"/>
            <w:tcMar>
              <w:top w:type="dxa" w:w="100"/>
              <w:left w:type="dxa" w:w="140"/>
              <w:bottom w:type="dxa" w:w="100"/>
              <w:right w:type="dxa" w:w="140"/>
            </w:tcMar>
          </w:tcPr>
          <w:p>
            <w:r>
              <w:rPr>
                <w:sz w:val="19"/>
                <w:szCs w:val="19"/>
              </w:rPr>
              <w:t xml:space="preserve">Generated automatically — cannot drift from the implementation by construction</w:t>
            </w:r>
          </w:p>
        </w:tc>
      </w:tr>
      <w:tr>
        <w:tc>
          <w:tcPr>
            <w:tcW w:type="dxa" w:w="2600"/>
            <w:shd w:fill="F4F6F9" w:val="clear"/>
            <w:tcMar>
              <w:top w:type="dxa" w:w="100"/>
              <w:left w:type="dxa" w:w="140"/>
              <w:bottom w:type="dxa" w:w="100"/>
              <w:right w:type="dxa" w:w="140"/>
            </w:tcMar>
          </w:tcPr>
          <w:p>
            <w:r>
              <w:rPr>
                <w:sz w:val="19"/>
                <w:szCs w:val="19"/>
              </w:rPr>
              <w:t xml:space="preserve">Architecture decisions</w:t>
            </w:r>
          </w:p>
        </w:tc>
        <w:tc>
          <w:tcPr>
            <w:tcW w:type="dxa" w:w="4000"/>
            <w:shd w:fill="F4F6F9" w:val="clear"/>
            <w:tcMar>
              <w:top w:type="dxa" w:w="100"/>
              <w:left w:type="dxa" w:w="140"/>
              <w:bottom w:type="dxa" w:w="100"/>
              <w:right w:type="dxa" w:w="140"/>
            </w:tcMar>
          </w:tcPr>
          <w:p>
            <w:r>
              <w:rPr>
                <w:sz w:val="19"/>
                <w:szCs w:val="19"/>
              </w:rPr>
              <w:t xml:space="preserve">Lightweight Architecture Decision Records (ADRs) in each service's repository</w:t>
            </w:r>
          </w:p>
        </w:tc>
        <w:tc>
          <w:tcPr>
            <w:tcW w:type="dxa" w:w="3200"/>
            <w:shd w:fill="F4F6F9" w:val="clear"/>
            <w:tcMar>
              <w:top w:type="dxa" w:w="100"/>
              <w:left w:type="dxa" w:w="140"/>
              <w:bottom w:type="dxa" w:w="100"/>
              <w:right w:type="dxa" w:w="140"/>
            </w:tcMar>
          </w:tcPr>
          <w:p>
            <w:r>
              <w:rPr>
                <w:sz w:val="19"/>
                <w:szCs w:val="19"/>
              </w:rPr>
              <w:t xml:space="preserve">Written at the time a significant architectural choice is made, particularly one that deviates from or extends this documentation suite</w:t>
            </w:r>
          </w:p>
        </w:tc>
      </w:tr>
      <w:tr>
        <w:tc>
          <w:tcPr>
            <w:tcW w:type="dxa" w:w="2600"/>
            <w:shd w:fill="FFFFFF" w:val="clear"/>
            <w:tcMar>
              <w:top w:type="dxa" w:w="100"/>
              <w:left w:type="dxa" w:w="140"/>
              <w:bottom w:type="dxa" w:w="100"/>
              <w:right w:type="dxa" w:w="140"/>
            </w:tcMar>
          </w:tcPr>
          <w:p>
            <w:r>
              <w:rPr>
                <w:sz w:val="19"/>
                <w:szCs w:val="19"/>
              </w:rPr>
              <w:t xml:space="preserve">This documentation suite (Documents 1-18)</w:t>
            </w:r>
          </w:p>
        </w:tc>
        <w:tc>
          <w:tcPr>
            <w:tcW w:type="dxa" w:w="4000"/>
            <w:shd w:fill="FFFFFF" w:val="clear"/>
            <w:tcMar>
              <w:top w:type="dxa" w:w="100"/>
              <w:left w:type="dxa" w:w="140"/>
              <w:bottom w:type="dxa" w:w="100"/>
              <w:right w:type="dxa" w:w="140"/>
            </w:tcMar>
          </w:tcPr>
          <w:p>
            <w:r>
              <w:rPr>
                <w:sz w:val="19"/>
                <w:szCs w:val="19"/>
              </w:rPr>
              <w:t xml:space="preserve">Central documentation repository</w:t>
            </w:r>
          </w:p>
        </w:tc>
        <w:tc>
          <w:tcPr>
            <w:tcW w:type="dxa" w:w="3200"/>
            <w:shd w:fill="FFFFFF" w:val="clear"/>
            <w:tcMar>
              <w:top w:type="dxa" w:w="100"/>
              <w:left w:type="dxa" w:w="140"/>
              <w:bottom w:type="dxa" w:w="100"/>
              <w:right w:type="dxa" w:w="140"/>
            </w:tcMar>
          </w:tcPr>
          <w:p>
            <w:r>
              <w:rPr>
                <w:sz w:val="19"/>
                <w:szCs w:val="19"/>
              </w:rPr>
              <w:t xml:space="preserve">Reviewed and updated at the cadence defined in Section 4.3</w:t>
            </w:r>
          </w:p>
        </w:tc>
      </w:tr>
      <w:tr>
        <w:tc>
          <w:tcPr>
            <w:tcW w:type="dxa" w:w="2600"/>
            <w:shd w:fill="F4F6F9" w:val="clear"/>
            <w:tcMar>
              <w:top w:type="dxa" w:w="100"/>
              <w:left w:type="dxa" w:w="140"/>
              <w:bottom w:type="dxa" w:w="100"/>
              <w:right w:type="dxa" w:w="140"/>
            </w:tcMar>
          </w:tcPr>
          <w:p>
            <w:r>
              <w:rPr>
                <w:sz w:val="19"/>
                <w:szCs w:val="19"/>
              </w:rPr>
              <w:t xml:space="preserve">Runbooks (on-call, incident response, restore drills)</w:t>
            </w:r>
          </w:p>
        </w:tc>
        <w:tc>
          <w:tcPr>
            <w:tcW w:type="dxa" w:w="4000"/>
            <w:shd w:fill="F4F6F9" w:val="clear"/>
            <w:tcMar>
              <w:top w:type="dxa" w:w="100"/>
              <w:left w:type="dxa" w:w="140"/>
              <w:bottom w:type="dxa" w:w="100"/>
              <w:right w:type="dxa" w:w="140"/>
            </w:tcMar>
          </w:tcPr>
          <w:p>
            <w:r>
              <w:rPr>
                <w:sz w:val="19"/>
                <w:szCs w:val="19"/>
              </w:rPr>
              <w:t xml:space="preserve">Central documentation repository, linked from the Monitoring Service's alert routing (DevOps Manual, Document 11, Section 4.3)</w:t>
            </w:r>
          </w:p>
        </w:tc>
        <w:tc>
          <w:tcPr>
            <w:tcW w:type="dxa" w:w="3200"/>
            <w:shd w:fill="F4F6F9" w:val="clear"/>
            <w:tcMar>
              <w:top w:type="dxa" w:w="100"/>
              <w:left w:type="dxa" w:w="140"/>
              <w:bottom w:type="dxa" w:w="100"/>
              <w:right w:type="dxa" w:w="140"/>
            </w:tcMar>
          </w:tcPr>
          <w:p>
            <w:r>
              <w:rPr>
                <w:sz w:val="19"/>
                <w:szCs w:val="19"/>
              </w:rPr>
              <w:t xml:space="preserve">Updated after every incident post-review (Security Architecture, Document 9, Section 9.2) and every drill (System Design Document, Document 5, Section 7.4)</w:t>
            </w:r>
          </w:p>
        </w:tc>
      </w:tr>
    </w:tbl>
    <w:p>
      <w:pPr>
        <w:spacing w:after="260" w:before="80"/>
      </w:pPr>
      <w:r>
        <w:rPr>
          <w:i/>
          <w:iCs/>
          <w:color w:val="6B7280"/>
          <w:sz w:val="18"/>
          <w:szCs w:val="18"/>
        </w:rPr>
        <w:t xml:space="preserve">Table 4.1 — Documentation types, locations, and currency ownership.</w:t>
      </w:r>
    </w:p>
    <w:p>
      <w:pPr>
        <w:pStyle w:val="Heading2"/>
        <w:spacing w:after="180" w:before="360"/>
      </w:pPr>
      <w:r>
        <w:rPr>
          <w:b/>
          <w:bCs/>
          <w:color w:val="2E5EAA"/>
          <w:sz w:val="26"/>
          <w:szCs w:val="26"/>
        </w:rPr>
        <w:t xml:space="preserve">4.2 Architecture Decision Records (ADRs)</w:t>
      </w:r>
    </w:p>
    <w:p>
      <w:pPr>
        <w:spacing w:after="200" w:line="300"/>
        <w:jc w:val="both"/>
      </w:pPr>
      <w:r>
        <w:rPr>
          <w:sz w:val="21"/>
          <w:szCs w:val="21"/>
        </w:rPr>
        <w:t xml:space="preserve">Any decision that changes or extends the architecture established in this documentation suite — adopting a new library not in the approved stack (Technical Requirements Document, Document 4, Section 2), changing a service boundary, introducing a new data store — is recorded as a short ADR: the context, the options considered, the decision, and the consequences. This gives future engineers (and future revisions of this documentation suite) the reasoning behind a decision, not just the decision itself, directly supporting the constitution's 'every assumption documented' principle.</w:t>
      </w:r>
    </w:p>
    <w:p>
      <w:pPr>
        <w:pStyle w:val="Heading2"/>
        <w:spacing w:after="180" w:before="360"/>
      </w:pPr>
      <w:r>
        <w:rPr>
          <w:b/>
          <w:bCs/>
          <w:color w:val="2E5EAA"/>
          <w:sz w:val="26"/>
          <w:szCs w:val="26"/>
        </w:rPr>
        <w:t xml:space="preserve">4.3 Keeping this documentation suite current</w:t>
      </w:r>
    </w:p>
    <w:p>
      <w:pPr>
        <w:spacing w:after="200" w:line="300"/>
        <w:jc w:val="both"/>
      </w:pPr>
      <w:r>
        <w:rPr>
          <w:sz w:val="21"/>
          <w:szCs w:val="21"/>
        </w:rPr>
        <w:t xml:space="preserve">This 18-document suite is a living reference, not a one-time artifact. Each document owner (assigned per the team structure in the Company Operating Manual, Document 18) reviews their document(s) quarterly, or immediately following any change that invalidates something written there — an out-of-date architecture document is worse than no document at all, since it actively misleads rather than simply failing to help.</w:t>
      </w:r>
    </w:p>
    <w:p>
      <w:pPr>
        <w:pStyle w:val="Heading1"/>
        <w:pageBreakBefore/>
        <w:spacing w:after="240" w:before="480"/>
      </w:pPr>
      <w:r>
        <w:rPr>
          <w:b/>
          <w:bCs/>
          <w:color w:val="1A2B4C"/>
          <w:sz w:val="32"/>
          <w:szCs w:val="32"/>
        </w:rPr>
        <w:t xml:space="preserve">5. Release Process</w:t>
      </w:r>
    </w:p>
    <w:p>
      <w:pPr>
        <w:pStyle w:val="Heading2"/>
        <w:spacing w:after="180" w:before="360"/>
      </w:pPr>
      <w:r>
        <w:rPr>
          <w:b/>
          <w:bCs/>
          <w:color w:val="2E5EAA"/>
          <w:sz w:val="26"/>
          <w:szCs w:val="26"/>
        </w:rPr>
        <w:t xml:space="preserve">5.1 Semantic versioning in practice</w:t>
      </w:r>
    </w:p>
    <w:p>
      <w:pPr>
        <w:spacing w:after="200" w:line="300"/>
        <w:jc w:val="both"/>
      </w:pPr>
      <w:r>
        <w:rPr>
          <w:sz w:val="21"/>
          <w:szCs w:val="21"/>
        </w:rPr>
        <w:t xml:space="preserve">Per the Technical Requirements Document (Document 4, Section 10.3), each independently deployable service maintains its own semantic version, and public-facing artifacts (the REST API, each SDK) carry their own API version distinct from internal service versions. A patch version bump indicates a bug fix with no interface change; a minor bump indicates a backward-compatible addition; a major bump indicates a breaking change and, for the public API specifically, triggers the versioning and deprecation process (Technical Requirements Document, Document 4, Section 13.2).</w:t>
      </w:r>
    </w:p>
    <w:p>
      <w:pPr>
        <w:pStyle w:val="Heading2"/>
        <w:spacing w:after="180" w:before="360"/>
      </w:pPr>
      <w:r>
        <w:rPr>
          <w:b/>
          <w:bCs/>
          <w:color w:val="2E5EAA"/>
          <w:sz w:val="26"/>
          <w:szCs w:val="26"/>
        </w:rPr>
        <w:t xml:space="preserve">5.2 Release checklist</w:t>
      </w:r>
    </w:p>
    <w:p>
      <w:pPr>
        <w:spacing w:after="200" w:line="300"/>
        <w:jc w:val="both"/>
      </w:pPr>
      <w:r>
        <w:rPr>
          <w:sz w:val="21"/>
          <w:szCs w:val="21"/>
        </w:rPr>
        <w:t xml:space="preserve">Restating and expanding the release checklist from the Technical Requirements Document (Document 4, Section 11.5) as the concrete, followable list for any release affecting the verification decision path:</w:t>
      </w:r>
    </w:p>
    <w:p>
      <w:pPr>
        <w:pStyle w:val="ListParagraph"/>
        <w:numPr>
          <w:ilvl w:val="0"/>
          <w:numId w:val="3"/>
        </w:numPr>
        <w:spacing w:after="100" w:line="280"/>
      </w:pPr>
      <w:r>
        <w:rPr>
          <w:sz w:val="21"/>
          <w:szCs w:val="21"/>
        </w:rPr>
        <w:t xml:space="preserve">All CI gates green (lint, type-check, unit, integration, API contract, security scan, performance for critical-path changes).</w:t>
      </w:r>
    </w:p>
    <w:p>
      <w:pPr>
        <w:pStyle w:val="ListParagraph"/>
        <w:numPr>
          <w:ilvl w:val="0"/>
          <w:numId w:val="3"/>
        </w:numPr>
        <w:spacing w:after="100" w:line="280"/>
      </w:pPr>
      <w:r>
        <w:rPr>
          <w:sz w:val="21"/>
          <w:szCs w:val="21"/>
        </w:rPr>
        <w:t xml:space="preserve">Architecture review sign-off documented for any new or changed service boundary.</w:t>
      </w:r>
    </w:p>
    <w:p>
      <w:pPr>
        <w:pStyle w:val="ListParagraph"/>
        <w:numPr>
          <w:ilvl w:val="0"/>
          <w:numId w:val="3"/>
        </w:numPr>
        <w:spacing w:after="100" w:line="280"/>
      </w:pPr>
      <w:r>
        <w:rPr>
          <w:sz w:val="21"/>
          <w:szCs w:val="21"/>
        </w:rPr>
        <w:t xml:space="preserve">Security review sign-off documented for any change touching authentication, encryption, or the biometric perimeter.</w:t>
      </w:r>
    </w:p>
    <w:p>
      <w:pPr>
        <w:pStyle w:val="ListParagraph"/>
        <w:numPr>
          <w:ilvl w:val="0"/>
          <w:numId w:val="3"/>
        </w:numPr>
        <w:spacing w:after="100" w:line="280"/>
      </w:pPr>
      <w:r>
        <w:rPr>
          <w:sz w:val="21"/>
          <w:szCs w:val="21"/>
        </w:rPr>
        <w:t xml:space="preserve">Rollback plan documented before deployment begins — which prior version/model to revert to and how, not improvised after an incident.</w:t>
      </w:r>
    </w:p>
    <w:p>
      <w:pPr>
        <w:pStyle w:val="ListParagraph"/>
        <w:numPr>
          <w:ilvl w:val="0"/>
          <w:numId w:val="3"/>
        </w:numPr>
        <w:spacing w:after="100" w:line="280"/>
      </w:pPr>
      <w:r>
        <w:rPr>
          <w:sz w:val="21"/>
          <w:szCs w:val="21"/>
        </w:rPr>
        <w:t xml:space="preserve">For ML model releases specifically, the canary evaluation criteria (ML Architecture, Document 7, Section 6.3) are met before full promotion.</w:t>
      </w:r>
    </w:p>
    <w:p>
      <w:pPr>
        <w:pStyle w:val="ListParagraph"/>
        <w:numPr>
          <w:ilvl w:val="0"/>
          <w:numId w:val="3"/>
        </w:numPr>
        <w:spacing w:after="100" w:line="280"/>
      </w:pPr>
      <w:r>
        <w:rPr>
          <w:sz w:val="21"/>
          <w:szCs w:val="21"/>
        </w:rPr>
        <w:t xml:space="preserve">Release notes drafted from the Conventional Commits history (Section 1.3), reviewed for clarity by someone other than the primary author.</w:t>
      </w:r>
    </w:p>
    <w:p>
      <w:pPr>
        <w:pStyle w:val="Heading2"/>
        <w:spacing w:after="180" w:before="360"/>
      </w:pPr>
      <w:r>
        <w:rPr>
          <w:b/>
          <w:bCs/>
          <w:color w:val="2E5EAA"/>
          <w:sz w:val="26"/>
          <w:szCs w:val="26"/>
        </w:rPr>
        <w:t xml:space="preserve">5.3 Deployment cadence</w:t>
      </w:r>
    </w:p>
    <w:p>
      <w:pPr>
        <w:spacing w:after="200" w:line="300"/>
        <w:jc w:val="both"/>
      </w:pPr>
      <w:r>
        <w:rPr>
          <w:sz w:val="21"/>
          <w:szCs w:val="21"/>
        </w:rPr>
        <w:t xml:space="preserve">Non-critical-path services deploy continuously as changes merge and pass CI, following the automatic-staging-deploy pattern (Technical Requirements Document, Document 4, Section 10.4). Verification-path services (Backend API, ML Inference, Device Trust, Cryptographic) follow the same continuous-staging pattern but require the explicit production-promotion approval step (Technical Requirements Document, Document 4, Section 10.4) for every production release, regardless of how small the change appears — there is no 'too small to need approval' exception for services on the critical trust path.</w:t>
      </w:r>
    </w:p>
    <w:p>
      <w:pPr>
        <w:pStyle w:val="Heading2"/>
        <w:spacing w:after="180" w:before="360"/>
      </w:pPr>
      <w:r>
        <w:rPr>
          <w:b/>
          <w:bCs/>
          <w:color w:val="2E5EAA"/>
          <w:sz w:val="26"/>
          <w:szCs w:val="26"/>
        </w:rPr>
        <w:t xml:space="preserve">5.4 Post-release verification</w:t>
      </w:r>
    </w:p>
    <w:p>
      <w:pPr>
        <w:spacing w:after="200" w:line="300"/>
        <w:jc w:val="both"/>
      </w:pPr>
      <w:r>
        <w:rPr>
          <w:sz w:val="21"/>
          <w:szCs w:val="21"/>
        </w:rPr>
        <w:t xml:space="preserve">Every production release is followed by active monitoring of the standard dashboards (DevOps Manual, Document 11, Section 4.2) for a defined observation window appropriate to the change's risk level, not a 'ship and forget' pattern — the engineer responsible for the release owns watching for regressions during this window, consistent with the production-quality principle that shipping is not complete until the change is confirmed healthy in production, not merely confirmed to have deployed successfully.</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CERTIVO — Internal Engineering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2026-07-04T07:37:52.423Z</dcterms:created>
  <dcterms:modified xsi:type="dcterms:W3CDTF">2026-07-04T07:37:52.423Z</dcterms:modified>
</cp:coreProperties>
</file>

<file path=docProps/custom.xml><?xml version="1.0" encoding="utf-8"?>
<Properties xmlns="http://schemas.openxmlformats.org/officeDocument/2006/custom-properties" xmlns:vt="http://schemas.openxmlformats.org/officeDocument/2006/docPropsVTypes"/>
</file>