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2.png" ContentType="image/png"/>
  <Override PartName="/word/media/rId4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Network</w:t>
      </w:r>
      <w:r>
        <w:t xml:space="preserve"> </w:t>
      </w:r>
      <w:r>
        <w:t xml:space="preserve">analysis</w:t>
      </w:r>
      <w:r>
        <w:t xml:space="preserve"> </w:t>
      </w:r>
      <w:r>
        <w:t xml:space="preserve">of</w:t>
      </w:r>
      <w:r>
        <w:t xml:space="preserve"> </w:t>
      </w:r>
      <w:r>
        <w:t xml:space="preserve">symbiotic</w:t>
      </w:r>
      <w:r>
        <w:t xml:space="preserve"> </w:t>
      </w:r>
      <w:r>
        <w:t xml:space="preserve">association</w:t>
      </w:r>
      <w:r>
        <w:t xml:space="preserve"> </w:t>
      </w:r>
      <w:r>
        <w:t xml:space="preserve">in</w:t>
      </w:r>
      <w:r>
        <w:t xml:space="preserve"> </w:t>
      </w:r>
      <w:r>
        <w:rPr>
          <w:i/>
        </w:rPr>
        <w:t xml:space="preserve">Lupinus</w:t>
      </w:r>
    </w:p>
    <w:p>
      <w:pPr>
        <w:pStyle w:val="Author"/>
      </w:pPr>
      <w:r>
        <w:t xml:space="preserve">Guanjing</w:t>
      </w:r>
      <w:r>
        <w:t xml:space="preserve"> </w:t>
      </w:r>
      <w:r>
        <w:t xml:space="preserve">Hu</w:t>
      </w:r>
    </w:p>
    <w:p>
      <w:pPr>
        <w:pStyle w:val="Date"/>
      </w:pPr>
      <w:r>
        <w:t xml:space="preserve">June,</w:t>
      </w:r>
      <w:r>
        <w:t xml:space="preserve"> </w:t>
      </w:r>
      <w:r>
        <w:t xml:space="preserve">2017</w:t>
      </w:r>
    </w:p>
    <w:p>
      <w:pPr>
        <w:pStyle w:val="Heading1"/>
      </w:pPr>
      <w:bookmarkStart w:id="21" w:name="background"/>
      <w:bookmarkEnd w:id="21"/>
      <w:r>
        <w:t xml:space="preserve">Background</w:t>
      </w:r>
    </w:p>
    <w:p>
      <w:pPr>
        <w:pStyle w:val="FirstParagraph"/>
      </w:pPr>
      <w:r>
        <w:t xml:space="preserve">Inside a legume genus</w:t>
      </w:r>
      <w:r>
        <w:t xml:space="preserve"> </w:t>
      </w:r>
      <w:r>
        <w:rPr>
          <w:i/>
        </w:rPr>
        <w:t xml:space="preserve">Lupinus</w:t>
      </w:r>
      <w:r>
        <w:t xml:space="preserve">, species may form symbiotic association with different bacteria species, or a specific relationship with only one species of bacteria. For example,</w:t>
      </w:r>
      <w:r>
        <w:t xml:space="preserve"> </w:t>
      </w:r>
      <w:r>
        <w:rPr>
          <w:i/>
        </w:rPr>
        <w:t xml:space="preserve">L. albus</w:t>
      </w:r>
      <w:r>
        <w:t xml:space="preserve"> </w:t>
      </w:r>
      <w:r>
        <w:t xml:space="preserve">can be associated with different bacteria species whereas</w:t>
      </w:r>
      <w:r>
        <w:t xml:space="preserve"> </w:t>
      </w:r>
      <w:r>
        <w:rPr>
          <w:i/>
        </w:rPr>
        <w:t xml:space="preserve">L. mariae-josephae</w:t>
      </w:r>
      <w:r>
        <w:t xml:space="preserve"> </w:t>
      </w:r>
      <w:r>
        <w:t xml:space="preserve">is specific to</w:t>
      </w:r>
      <w:r>
        <w:t xml:space="preserve"> </w:t>
      </w:r>
      <w:r>
        <w:rPr>
          <w:i/>
        </w:rPr>
        <w:t xml:space="preserve">Bradyrhizobium valentinum</w:t>
      </w:r>
      <w:r>
        <w:t xml:space="preserve">.</w:t>
      </w:r>
    </w:p>
    <w:p>
      <w:pPr>
        <w:pStyle w:val="BodyText"/>
      </w:pPr>
      <w:r>
        <w:t xml:space="preserve">We are interested in genes which could be responsible for this specificity. Last year, we cultivated 3 lupine species with two different bacteria strains and three replicates each time (so we had compatible, and uncompatible situations). We performed RNAseq Illumina (High-seq 2000) sequencing for each replicates and we pooled all reads for each species (e.g : for L. albus, we pooled the three replicates with the first bacteria and the three replicates with the second bacteria in one file). Then, these super-datasets were subjected to Trinity (2.0.6) for assembly. Finally, chimeras were detected and removed. Below, a schema summarizing the process:</w:t>
      </w:r>
      <w:r>
        <w:t xml:space="preserve"> </w:t>
      </w:r>
      <w:r>
        <w:drawing>
          <wp:inline>
            <wp:extent cx="5943600" cy="2459614"/>
            <wp:effectExtent b="0" l="0" r="0" t="0"/>
            <wp:docPr descr="" title="" id="1" name="Picture"/>
            <a:graphic>
              <a:graphicData uri="http://schemas.openxmlformats.org/drawingml/2006/picture">
                <pic:pic>
                  <pic:nvPicPr>
                    <pic:cNvPr descr="img/design.png" id="0" name="Picture"/>
                    <pic:cNvPicPr>
                      <a:picLocks noChangeArrowheads="1" noChangeAspect="1"/>
                    </pic:cNvPicPr>
                  </pic:nvPicPr>
                  <pic:blipFill>
                    <a:blip r:embed="rId22"/>
                    <a:stretch>
                      <a:fillRect/>
                    </a:stretch>
                  </pic:blipFill>
                  <pic:spPr bwMode="auto">
                    <a:xfrm>
                      <a:off x="0" y="0"/>
                      <a:ext cx="5943600" cy="2459614"/>
                    </a:xfrm>
                    <a:prstGeom prst="rect">
                      <a:avLst/>
                    </a:prstGeom>
                    <a:noFill/>
                    <a:ln w="9525">
                      <a:noFill/>
                      <a:headEnd/>
                      <a:tailEnd/>
                    </a:ln>
                  </pic:spPr>
                </pic:pic>
              </a:graphicData>
            </a:graphic>
          </wp:inline>
        </w:drawing>
      </w:r>
    </w:p>
    <w:p>
      <w:pPr>
        <w:pStyle w:val="Heading1"/>
      </w:pPr>
      <w:bookmarkStart w:id="23" w:name="about-co-expression-gene-network-analysis"/>
      <w:bookmarkEnd w:id="23"/>
      <w:r>
        <w:t xml:space="preserve">About co-expression gene network analysis</w:t>
      </w:r>
    </w:p>
    <w:p>
      <w:pPr>
        <w:pStyle w:val="FirstParagraph"/>
      </w:pPr>
      <w:r>
        <w:rPr>
          <w:b/>
        </w:rPr>
        <w:t xml:space="preserve">Objectives</w:t>
      </w:r>
      <w:r>
        <w:t xml:space="preserve">: We would like to construct the co-expression network for each species, and conduct comparative network analysis to find common sub-network structures or conserved functional modules (closely clustered genes with related biological functions) among three different</w:t>
      </w:r>
      <w:r>
        <w:t xml:space="preserve"> </w:t>
      </w:r>
      <w:r>
        <w:rPr>
          <w:i/>
        </w:rPr>
        <w:t xml:space="preserve">Lupinus</w:t>
      </w:r>
      <w:r>
        <w:t xml:space="preserve"> </w:t>
      </w:r>
      <w:r>
        <w:t xml:space="preserve">species.</w:t>
      </w:r>
    </w:p>
    <w:p>
      <w:pPr>
        <w:pStyle w:val="BodyText"/>
      </w:pPr>
      <w:r>
        <w:rPr>
          <w:b/>
        </w:rPr>
        <w:t xml:space="preserve">Challenges</w:t>
      </w:r>
      <w:r>
        <w:t xml:space="preserve">: For co-expression network construction based on Pearson correlation (r) matrix, it is not ideal to use only 6 samples per species, given the high level of noise due to small sample size. Therefore, describing topological details for individual species network is prone to errors, and direct network alignment (whether and how individual nodes and edges in one networking having counterparts in the other network) across species becomes even more problematic and sensitive to noise.</w:t>
      </w:r>
    </w:p>
    <w:p>
      <w:pPr>
        <w:pStyle w:val="BodyText"/>
      </w:pPr>
      <w:r>
        <w:t xml:space="preserve">Therefore, approporiate precautions should be taken into considerations; for example:</w:t>
      </w:r>
    </w:p>
    <w:p>
      <w:pPr>
        <w:pStyle w:val="Compact"/>
        <w:numPr>
          <w:numId w:val="1001"/>
          <w:ilvl w:val="0"/>
        </w:numPr>
      </w:pPr>
      <w:r>
        <w:t xml:space="preserve">More stringent threshold should be applied to define co-expression relaionships, e.g. using higher cutoff for Pearson correlations to filter out weak edges.</w:t>
      </w:r>
    </w:p>
    <w:p>
      <w:pPr>
        <w:pStyle w:val="Compact"/>
        <w:numPr>
          <w:numId w:val="1001"/>
          <w:ilvl w:val="0"/>
        </w:numPr>
      </w:pPr>
      <w:r>
        <w:t xml:space="preserve">Restrict network construction to those genes with strong biological signals, like genes exhibiting significant differential expression.</w:t>
      </w:r>
    </w:p>
    <w:p>
      <w:pPr>
        <w:pStyle w:val="Compact"/>
        <w:numPr>
          <w:numId w:val="1001"/>
          <w:ilvl w:val="0"/>
        </w:numPr>
      </w:pPr>
      <w:r>
        <w:t xml:space="preserve">When analyzing network features, focus on module-level characteristics and avoid over-interpretation of changes on certain nodes and edges.</w:t>
      </w:r>
    </w:p>
    <w:p>
      <w:pPr>
        <w:pStyle w:val="Compact"/>
        <w:numPr>
          <w:numId w:val="1001"/>
          <w:ilvl w:val="0"/>
        </w:numPr>
      </w:pPr>
      <w:r>
        <w:t xml:space="preserve">Always consider statistical significance of results before making conclusions.</w:t>
      </w:r>
    </w:p>
    <w:p>
      <w:pPr>
        <w:pStyle w:val="Heading1"/>
      </w:pPr>
      <w:bookmarkStart w:id="24" w:name="analytic-workflow"/>
      <w:bookmarkEnd w:id="24"/>
      <w:r>
        <w:t xml:space="preserve">Analytic workflow</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Steps</w:t>
            </w:r>
          </w:p>
        </w:tc>
        <w:tc>
          <w:tcPr>
            <w:tcBorders>
              <w:bottom w:val="single"/>
            </w:tcBorders>
            <w:vAlign w:val="bottom"/>
          </w:tcPr>
          <w:p>
            <w:pPr>
              <w:pStyle w:val="Compact"/>
              <w:jc w:val="left"/>
            </w:pPr>
            <w:r>
              <w:t xml:space="preserve">PlanA</w:t>
            </w:r>
          </w:p>
        </w:tc>
        <w:tc>
          <w:tcPr>
            <w:tcBorders>
              <w:bottom w:val="single"/>
            </w:tcBorders>
            <w:vAlign w:val="bottom"/>
          </w:tcPr>
          <w:p>
            <w:pPr>
              <w:pStyle w:val="Compact"/>
              <w:jc w:val="left"/>
            </w:pPr>
            <w:r>
              <w:t xml:space="preserve">PlanB</w:t>
            </w:r>
          </w:p>
        </w:tc>
      </w:tr>
      <w:tr>
        <w:tc>
          <w:p>
            <w:pPr>
              <w:pStyle w:val="Compact"/>
              <w:jc w:val="left"/>
            </w:pPr>
            <w:r>
              <w:t xml:space="preserve">1</w:t>
            </w:r>
          </w:p>
        </w:tc>
        <w:tc>
          <w:p>
            <w:pPr>
              <w:pStyle w:val="Compact"/>
              <w:jc w:val="left"/>
            </w:pPr>
            <w:r>
              <w:t xml:space="preserve">Network construction</w:t>
            </w:r>
          </w:p>
        </w:tc>
        <w:tc>
          <w:p>
            <w:pPr>
              <w:pStyle w:val="Compact"/>
              <w:jc w:val="left"/>
            </w:pPr>
            <w:r>
              <w:t xml:space="preserve">Network construction</w:t>
            </w:r>
          </w:p>
        </w:tc>
      </w:tr>
      <w:tr>
        <w:tc>
          <w:p>
            <w:pPr>
              <w:pStyle w:val="Compact"/>
              <w:jc w:val="left"/>
            </w:pPr>
            <w:r>
              <w:t xml:space="preserve">2</w:t>
            </w:r>
          </w:p>
        </w:tc>
        <w:tc>
          <w:p>
            <w:pPr>
              <w:pStyle w:val="Compact"/>
              <w:jc w:val="left"/>
            </w:pPr>
            <w:r>
              <w:t xml:space="preserve">Network alignment</w:t>
            </w:r>
          </w:p>
        </w:tc>
        <w:tc>
          <w:p>
            <w:pPr>
              <w:pStyle w:val="Compact"/>
              <w:jc w:val="left"/>
            </w:pPr>
            <w:r>
              <w:t xml:space="preserve">Functional connectivity calculation</w:t>
            </w:r>
          </w:p>
        </w:tc>
      </w:tr>
      <w:tr>
        <w:tc>
          <w:p>
            <w:pPr>
              <w:pStyle w:val="Compact"/>
              <w:jc w:val="left"/>
            </w:pPr>
            <w:r>
              <w:t xml:space="preserve">3</w:t>
            </w:r>
          </w:p>
        </w:tc>
        <w:tc>
          <w:p>
            <w:pPr>
              <w:pStyle w:val="Compact"/>
              <w:jc w:val="left"/>
            </w:pPr>
            <w:r>
              <w:t xml:space="preserve">Identify conserved and diverged modules</w:t>
            </w:r>
          </w:p>
        </w:tc>
        <w:tc>
          <w:p>
            <w:pPr>
              <w:pStyle w:val="Compact"/>
              <w:jc w:val="left"/>
            </w:pPr>
            <w:r>
              <w:t xml:space="preserve">Compare functional groups</w:t>
            </w:r>
          </w:p>
        </w:tc>
      </w:tr>
      <w:tr>
        <w:tc>
          <w:p>
            <w:pPr>
              <w:pStyle w:val="Compact"/>
              <w:jc w:val="left"/>
            </w:pPr>
            <w:r>
              <w:t xml:space="preserve">4</w:t>
            </w:r>
          </w:p>
        </w:tc>
        <w:tc>
          <w:p>
            <w:pPr>
              <w:pStyle w:val="Compact"/>
              <w:jc w:val="left"/>
            </w:pPr>
            <w:r>
              <w:t xml:space="preserve">Annotate modules of interest</w:t>
            </w:r>
          </w:p>
        </w:tc>
        <w:tc>
          <w:p>
            <w:pPr>
              <w:pStyle w:val="Compact"/>
              <w:jc w:val="left"/>
            </w:pPr>
            <w:r>
              <w:t xml:space="preserve">…</w:t>
            </w:r>
          </w:p>
        </w:tc>
      </w:tr>
    </w:tbl>
    <w:p>
      <w:pPr>
        <w:pStyle w:val="Heading2"/>
      </w:pPr>
      <w:bookmarkStart w:id="25" w:name="plan-a"/>
      <w:bookmarkEnd w:id="25"/>
      <w:r>
        <w:t xml:space="preserve">Plan A</w:t>
      </w:r>
    </w:p>
    <w:p>
      <w:pPr>
        <w:pStyle w:val="FirstParagraph"/>
      </w:pPr>
      <w:r>
        <w:t xml:space="preserve">We tried several tools for its step 2 and 3, but failed to get them work:</w:t>
      </w:r>
    </w:p>
    <w:p>
      <w:pPr>
        <w:pStyle w:val="Compact"/>
        <w:numPr>
          <w:numId w:val="1002"/>
          <w:ilvl w:val="0"/>
        </w:numPr>
      </w:pPr>
      <w:hyperlink r:id="rId26">
        <w:r>
          <w:rPr>
            <w:rStyle w:val="Hyperlink"/>
          </w:rPr>
          <w:t xml:space="preserve">OrthoClust</w:t>
        </w:r>
      </w:hyperlink>
      <w:r>
        <w:t xml:space="preserve"> </w:t>
      </w:r>
      <w:r>
        <w:t xml:space="preserve">(Yan et al, Genome Biology 2014) integrates networks built for individual species using orthology relationships of genes between species, which detects co-expression modules that range from being highly conserved cross species to species-specific.</w:t>
      </w:r>
      <w:r>
        <w:t xml:space="preserve"> </w:t>
      </w:r>
      <w:r>
        <w:rPr>
          <w:b/>
        </w:rPr>
        <w:t xml:space="preserve">Written in Julia.</w:t>
      </w:r>
    </w:p>
    <w:p>
      <w:pPr>
        <w:pStyle w:val="Compact"/>
        <w:numPr>
          <w:numId w:val="1002"/>
          <w:ilvl w:val="0"/>
        </w:numPr>
      </w:pPr>
      <w:hyperlink r:id="rId27">
        <w:r>
          <w:rPr>
            <w:rStyle w:val="Hyperlink"/>
          </w:rPr>
          <w:t xml:space="preserve">isorankN</w:t>
        </w:r>
      </w:hyperlink>
      <w:r>
        <w:t xml:space="preserve">, a global multiple-network alignment tool based on spectral clustering on the induced graph of pairwise alignment scores.</w:t>
      </w:r>
      <w:r>
        <w:t xml:space="preserve"> </w:t>
      </w:r>
      <w:r>
        <w:rPr>
          <w:b/>
        </w:rPr>
        <w:t xml:space="preserve">Terminated when reading network matrix, reason unknown</w:t>
      </w:r>
    </w:p>
    <w:p>
      <w:pPr>
        <w:pStyle w:val="Compact"/>
        <w:numPr>
          <w:numId w:val="1002"/>
          <w:ilvl w:val="0"/>
        </w:numPr>
      </w:pPr>
      <w:hyperlink r:id="rId28">
        <w:r>
          <w:rPr>
            <w:rStyle w:val="Hyperlink"/>
          </w:rPr>
          <w:t xml:space="preserve">multiMAGNA++</w:t>
        </w:r>
      </w:hyperlink>
      <w:r>
        <w:t xml:space="preserve"> </w:t>
      </w:r>
      <w:r>
        <w:t xml:space="preserve">is a method for multiple (global) network alignment.</w:t>
      </w:r>
      <w:r>
        <w:t xml:space="preserve"> </w:t>
      </w:r>
      <w:r>
        <w:rPr>
          <w:b/>
        </w:rPr>
        <w:t xml:space="preserve">Error reported reading node similarity files.</w:t>
      </w:r>
    </w:p>
    <w:p>
      <w:pPr>
        <w:pStyle w:val="FirstParagraph"/>
      </w:pPr>
      <w:r>
        <w:t xml:space="preserve">Other methods for network alignment were not tested, including</w:t>
      </w:r>
      <w:r>
        <w:t xml:space="preserve"> </w:t>
      </w:r>
      <w:hyperlink r:id="rId29">
        <w:r>
          <w:rPr>
            <w:rStyle w:val="Hyperlink"/>
          </w:rPr>
          <w:t xml:space="preserve">NetworkBlast-M</w:t>
        </w:r>
      </w:hyperlink>
      <w:r>
        <w:t xml:space="preserve">,</w:t>
      </w:r>
      <w:r>
        <w:t xml:space="preserve"> </w:t>
      </w:r>
      <w:hyperlink r:id="rId30">
        <w:r>
          <w:rPr>
            <w:rStyle w:val="Hyperlink"/>
          </w:rPr>
          <w:t xml:space="preserve">GraphAlignment</w:t>
        </w:r>
      </w:hyperlink>
      <w:r>
        <w:t xml:space="preserve">,</w:t>
      </w:r>
      <w:r>
        <w:t xml:space="preserve"> </w:t>
      </w:r>
      <w:hyperlink r:id="rId31">
        <w:r>
          <w:rPr>
            <w:rStyle w:val="Hyperlink"/>
          </w:rPr>
          <w:t xml:space="preserve">SMAL</w:t>
        </w:r>
      </w:hyperlink>
      <w:r>
        <w:t xml:space="preserve">,</w:t>
      </w:r>
      <w:r>
        <w:t xml:space="preserve"> </w:t>
      </w:r>
      <w:hyperlink r:id="rId32">
        <w:r>
          <w:rPr>
            <w:rStyle w:val="Hyperlink"/>
          </w:rPr>
          <w:t xml:space="preserve">ModuleAlign</w:t>
        </w:r>
      </w:hyperlink>
      <w:r>
        <w:t xml:space="preserve">,</w:t>
      </w:r>
      <w:r>
        <w:t xml:space="preserve"> </w:t>
      </w:r>
      <w:hyperlink r:id="rId33">
        <w:r>
          <w:rPr>
            <w:rStyle w:val="Hyperlink"/>
          </w:rPr>
          <w:t xml:space="preserve">SANA</w:t>
        </w:r>
      </w:hyperlink>
      <w:r>
        <w:t xml:space="preserve">,</w:t>
      </w:r>
      <w:r>
        <w:t xml:space="preserve"> </w:t>
      </w:r>
      <w:hyperlink r:id="rId34">
        <w:r>
          <w:rPr>
            <w:rStyle w:val="Hyperlink"/>
          </w:rPr>
          <w:t xml:space="preserve">Graemlin</w:t>
        </w:r>
      </w:hyperlink>
      <w:r>
        <w:t xml:space="preserve">. Because those methods were mostly developed for protein-protein interaction network, which is more curated and much less dense (fewer edges!!) than co-expression gene network, it appears quite challenging to adapt methods to our datasets without better understanding of their computational algorithms.</w:t>
      </w:r>
    </w:p>
    <w:p>
      <w:pPr>
        <w:pStyle w:val="Heading2"/>
      </w:pPr>
      <w:bookmarkStart w:id="35" w:name="plan-b"/>
      <w:bookmarkEnd w:id="35"/>
      <w:r>
        <w:t xml:space="preserve">Plan B</w:t>
      </w:r>
    </w:p>
    <w:p>
      <w:pPr>
        <w:pStyle w:val="FirstParagraph"/>
      </w:pPr>
      <w:r>
        <w:t xml:space="preserve">This workflow skipped network alignment or any direct comparisons of network topology, which could be a more suitable approach for our datasets, which generates very noisy networks.</w:t>
      </w:r>
      <w:r>
        <w:t xml:space="preserve"> </w:t>
      </w:r>
      <w:r>
        <w:rPr>
          <w:b/>
        </w:rPr>
        <w:t xml:space="preserve">Functional connectivity</w:t>
      </w:r>
      <w:r>
        <w:t xml:space="preserve">(FC) refers to the degree how genes belong to a given functional category (e.g. GO annotation) are connected in network. Here,</w:t>
      </w:r>
      <w:r>
        <w:t xml:space="preserve"> </w:t>
      </w:r>
      <w:r>
        <w:rPr>
          <w:b/>
        </w:rPr>
        <w:t xml:space="preserve">higher FC in one species indicates potential functionality involved in forming symbiotic association with bacteria according to the</w:t>
      </w:r>
      <w:r>
        <w:rPr>
          <w:b/>
        </w:rPr>
        <w:t xml:space="preserve"> </w:t>
      </w:r>
      <w:r>
        <w:rPr>
          <w:b/>
        </w:rPr>
        <w:t xml:space="preserve">“</w:t>
      </w:r>
      <w:r>
        <w:rPr>
          <w:b/>
        </w:rPr>
        <w:t xml:space="preserve">Guilt-By-Association</w:t>
      </w:r>
      <w:r>
        <w:rPr>
          <w:b/>
        </w:rPr>
        <w:t xml:space="preserve">”</w:t>
      </w:r>
      <w:r>
        <w:rPr>
          <w:b/>
        </w:rPr>
        <w:t xml:space="preserve"> </w:t>
      </w:r>
      <w:r>
        <w:rPr>
          <w:b/>
        </w:rPr>
        <w:t xml:space="preserve">principle</w:t>
      </w:r>
      <w:r>
        <w:t xml:space="preserve">. Functional categories that exhibit high FC consistently across three species are most likely to play an important role in symbiosis common to genus</w:t>
      </w:r>
      <w:r>
        <w:t xml:space="preserve"> </w:t>
      </w:r>
      <w:r>
        <w:rPr>
          <w:i/>
        </w:rPr>
        <w:t xml:space="preserve">Lupinus</w:t>
      </w:r>
      <w:r>
        <w:t xml:space="preserve">, while highly connected functional groups specific to each species may indicate species-specific recruitment.</w:t>
      </w:r>
    </w:p>
    <w:p>
      <w:pPr>
        <w:pStyle w:val="BodyText"/>
      </w:pPr>
      <w:r>
        <w:t xml:space="preserve">Data analysis of Plan B was conducted in R:</w:t>
      </w:r>
    </w:p>
    <w:p>
      <w:pPr>
        <w:pStyle w:val="Compact"/>
        <w:numPr>
          <w:numId w:val="1003"/>
          <w:ilvl w:val="0"/>
        </w:numPr>
      </w:pPr>
      <w:r>
        <w:t xml:space="preserve">R functions used by below scripts: [FC.FUN.r]</w:t>
      </w:r>
    </w:p>
    <w:p>
      <w:pPr>
        <w:pStyle w:val="Compact"/>
        <w:numPr>
          <w:numId w:val="1003"/>
          <w:ilvl w:val="0"/>
        </w:numPr>
      </w:pPr>
      <w:r>
        <w:t xml:space="preserve">Step 1 &amp; 2:</w:t>
      </w:r>
      <w:r>
        <w:t xml:space="preserve"> </w:t>
      </w:r>
      <w:hyperlink r:id="rId36">
        <w:r>
          <w:rPr>
            <w:rStyle w:val="Hyperlink"/>
          </w:rPr>
          <w:t xml:space="preserve">fc.r</w:t>
        </w:r>
      </w:hyperlink>
    </w:p>
    <w:p>
      <w:pPr>
        <w:pStyle w:val="Compact"/>
        <w:numPr>
          <w:numId w:val="1003"/>
          <w:ilvl w:val="0"/>
        </w:numPr>
      </w:pPr>
      <w:r>
        <w:t xml:space="preserve">Step 3:</w:t>
      </w:r>
      <w:r>
        <w:t xml:space="preserve"> </w:t>
      </w:r>
      <w:hyperlink r:id="rId36">
        <w:r>
          <w:rPr>
            <w:rStyle w:val="Hyperlink"/>
          </w:rPr>
          <w:t xml:space="preserve">fc.summary.r</w:t>
        </w:r>
      </w:hyperlink>
    </w:p>
    <w:p>
      <w:pPr>
        <w:pStyle w:val="Heading1"/>
      </w:pPr>
      <w:bookmarkStart w:id="37" w:name="preliminary-results"/>
      <w:bookmarkEnd w:id="37"/>
      <w:r>
        <w:t xml:space="preserve">Preliminary results</w:t>
      </w:r>
    </w:p>
    <w:p>
      <w:pPr>
        <w:pStyle w:val="Heading2"/>
      </w:pPr>
      <w:bookmarkStart w:id="38" w:name="wgcna-outperforms-other-binary-network-construction-methods"/>
      <w:bookmarkEnd w:id="38"/>
      <w:r>
        <w:t xml:space="preserve">WGCNA outperforms other binary network construction methods</w:t>
      </w:r>
    </w:p>
    <w:p>
      <w:pPr>
        <w:pStyle w:val="FirstParagraph"/>
      </w:pPr>
      <w:r>
        <w:t xml:space="preserve">A series of networks were constructed for three species, based on their expression profiles (</w:t>
      </w:r>
      <w:r>
        <w:t xml:space="preserve">“</w:t>
      </w:r>
      <w:r>
        <w:rPr>
          <w:rStyle w:val="VerbatimChar"/>
        </w:rPr>
        <w:t xml:space="preserve">Proteins/3.LX_normCounts_nolowcounts_prot.txt</w:t>
      </w:r>
      <w:r>
        <w:t xml:space="preserve">”</w:t>
      </w:r>
      <w:r>
        <w:t xml:space="preserve">).</w:t>
      </w:r>
    </w:p>
    <w:p>
      <w:pPr>
        <w:pStyle w:val="Heading4"/>
      </w:pPr>
      <w:bookmarkStart w:id="39" w:name="table.-networks-constructed-for-fc-analysis-per-species"/>
      <w:bookmarkEnd w:id="39"/>
      <w:r>
        <w:t xml:space="preserve">Table. Networks constructed for FC analysis per species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net</w:t>
            </w:r>
          </w:p>
        </w:tc>
        <w:tc>
          <w:tcPr>
            <w:tcBorders>
              <w:bottom w:val="single"/>
            </w:tcBorders>
            <w:vAlign w:val="bottom"/>
          </w:tcPr>
          <w:p>
            <w:pPr>
              <w:pStyle w:val="Compact"/>
              <w:jc w:val="left"/>
            </w:pPr>
            <w:r>
              <w:t xml:space="preserve">edge</w:t>
            </w:r>
          </w:p>
        </w:tc>
        <w:tc>
          <w:tcPr>
            <w:tcBorders>
              <w:bottom w:val="single"/>
            </w:tcBorders>
            <w:vAlign w:val="bottom"/>
          </w:tcPr>
          <w:p>
            <w:pPr>
              <w:pStyle w:val="Compact"/>
              <w:jc w:val="left"/>
            </w:pPr>
            <w:r>
              <w:t xml:space="preserve">metric</w:t>
            </w:r>
          </w:p>
        </w:tc>
        <w:tc>
          <w:tcPr>
            <w:tcBorders>
              <w:bottom w:val="single"/>
            </w:tcBorders>
            <w:vAlign w:val="bottom"/>
          </w:tcPr>
          <w:p>
            <w:pPr>
              <w:pStyle w:val="Compact"/>
              <w:jc w:val="left"/>
            </w:pPr>
            <w:r>
              <w:t xml:space="preserve">cutoff</w:t>
            </w:r>
          </w:p>
        </w:tc>
        <w:tc>
          <w:tcPr>
            <w:tcBorders>
              <w:bottom w:val="single"/>
            </w:tcBorders>
            <w:vAlign w:val="bottom"/>
          </w:tcPr>
          <w:p>
            <w:pPr>
              <w:pStyle w:val="Compact"/>
              <w:jc w:val="left"/>
            </w:pPr>
            <w:r>
              <w:t xml:space="preserve">desc</w:t>
            </w:r>
          </w:p>
        </w:tc>
      </w:tr>
      <w:tr>
        <w:tc>
          <w:p>
            <w:pPr>
              <w:pStyle w:val="Compact"/>
              <w:jc w:val="left"/>
            </w:pPr>
            <w:r>
              <w:t xml:space="preserve">1</w:t>
            </w:r>
          </w:p>
        </w:tc>
        <w:tc>
          <w:p>
            <w:pPr>
              <w:pStyle w:val="Compact"/>
              <w:jc w:val="left"/>
            </w:pPr>
            <w:r>
              <w:t xml:space="preserve">binary</w:t>
            </w:r>
          </w:p>
        </w:tc>
        <w:tc>
          <w:p>
            <w:pPr>
              <w:pStyle w:val="Compact"/>
              <w:jc w:val="left"/>
            </w:pPr>
            <w:r>
              <w:t xml:space="preserve">rank</w:t>
            </w:r>
          </w:p>
        </w:tc>
        <w:tc>
          <w:p>
            <w:pPr>
              <w:pStyle w:val="Compact"/>
              <w:jc w:val="left"/>
            </w:pPr>
            <w:r>
              <w:t xml:space="preserve">0.99</w:t>
            </w:r>
          </w:p>
        </w:tc>
        <w:tc>
          <w:p>
            <w:pPr>
              <w:pStyle w:val="Compact"/>
              <w:jc w:val="left"/>
            </w:pPr>
            <w:r>
              <w:t xml:space="preserve">binary.rank.0.99</w:t>
            </w:r>
          </w:p>
        </w:tc>
      </w:tr>
      <w:tr>
        <w:tc>
          <w:p>
            <w:pPr>
              <w:pStyle w:val="Compact"/>
              <w:jc w:val="left"/>
            </w:pPr>
            <w:r>
              <w:t xml:space="preserve">2</w:t>
            </w:r>
          </w:p>
        </w:tc>
        <w:tc>
          <w:p>
            <w:pPr>
              <w:pStyle w:val="Compact"/>
              <w:jc w:val="left"/>
            </w:pPr>
            <w:r>
              <w:t xml:space="preserve">binary</w:t>
            </w:r>
          </w:p>
        </w:tc>
        <w:tc>
          <w:p>
            <w:pPr>
              <w:pStyle w:val="Compact"/>
              <w:jc w:val="left"/>
            </w:pPr>
            <w:r>
              <w:t xml:space="preserve">rank</w:t>
            </w:r>
          </w:p>
        </w:tc>
        <w:tc>
          <w:p>
            <w:pPr>
              <w:pStyle w:val="Compact"/>
              <w:jc w:val="left"/>
            </w:pPr>
            <w:r>
              <w:t xml:space="preserve">0.995</w:t>
            </w:r>
          </w:p>
        </w:tc>
        <w:tc>
          <w:p>
            <w:pPr>
              <w:pStyle w:val="Compact"/>
              <w:jc w:val="left"/>
            </w:pPr>
            <w:r>
              <w:t xml:space="preserve">binary.rank.0.995</w:t>
            </w:r>
          </w:p>
        </w:tc>
      </w:tr>
      <w:tr>
        <w:tc>
          <w:p>
            <w:pPr>
              <w:pStyle w:val="Compact"/>
              <w:jc w:val="left"/>
            </w:pPr>
            <w:r>
              <w:t xml:space="preserve">3</w:t>
            </w:r>
          </w:p>
        </w:tc>
        <w:tc>
          <w:p>
            <w:pPr>
              <w:pStyle w:val="Compact"/>
              <w:jc w:val="left"/>
            </w:pPr>
            <w:r>
              <w:t xml:space="preserve">binary</w:t>
            </w:r>
          </w:p>
        </w:tc>
        <w:tc>
          <w:p>
            <w:pPr>
              <w:pStyle w:val="Compact"/>
              <w:jc w:val="left"/>
            </w:pPr>
            <w:r>
              <w:t xml:space="preserve">Zscore</w:t>
            </w:r>
          </w:p>
        </w:tc>
        <w:tc>
          <w:p>
            <w:pPr>
              <w:pStyle w:val="Compact"/>
              <w:jc w:val="left"/>
            </w:pPr>
            <w:r>
              <w:t xml:space="preserve">2</w:t>
            </w:r>
          </w:p>
        </w:tc>
        <w:tc>
          <w:p>
            <w:pPr>
              <w:pStyle w:val="Compact"/>
              <w:jc w:val="left"/>
            </w:pPr>
            <w:r>
              <w:t xml:space="preserve">binary.Zscore.2</w:t>
            </w:r>
          </w:p>
        </w:tc>
      </w:tr>
      <w:tr>
        <w:tc>
          <w:p>
            <w:pPr>
              <w:pStyle w:val="Compact"/>
              <w:jc w:val="left"/>
            </w:pPr>
            <w:r>
              <w:t xml:space="preserve">4</w:t>
            </w:r>
          </w:p>
        </w:tc>
        <w:tc>
          <w:p>
            <w:pPr>
              <w:pStyle w:val="Compact"/>
              <w:jc w:val="left"/>
            </w:pPr>
            <w:r>
              <w:t xml:space="preserve">binary</w:t>
            </w:r>
          </w:p>
        </w:tc>
        <w:tc>
          <w:p>
            <w:pPr>
              <w:pStyle w:val="Compact"/>
              <w:jc w:val="left"/>
            </w:pPr>
            <w:r>
              <w:t xml:space="preserve">Zscore</w:t>
            </w:r>
          </w:p>
        </w:tc>
        <w:tc>
          <w:p>
            <w:pPr>
              <w:pStyle w:val="Compact"/>
              <w:jc w:val="left"/>
            </w:pPr>
            <w:r>
              <w:t xml:space="preserve">2.5</w:t>
            </w:r>
          </w:p>
        </w:tc>
        <w:tc>
          <w:p>
            <w:pPr>
              <w:pStyle w:val="Compact"/>
              <w:jc w:val="left"/>
            </w:pPr>
            <w:r>
              <w:t xml:space="preserve">binary.Zscore.2.5</w:t>
            </w:r>
          </w:p>
        </w:tc>
      </w:tr>
      <w:tr>
        <w:tc>
          <w:p>
            <w:pPr>
              <w:pStyle w:val="Compact"/>
              <w:jc w:val="left"/>
            </w:pPr>
            <w:r>
              <w:t xml:space="preserve">5</w:t>
            </w:r>
          </w:p>
        </w:tc>
        <w:tc>
          <w:p>
            <w:pPr>
              <w:pStyle w:val="Compact"/>
              <w:jc w:val="left"/>
            </w:pPr>
            <w:r>
              <w:t xml:space="preserve">binary</w:t>
            </w:r>
          </w:p>
        </w:tc>
        <w:tc>
          <w:p>
            <w:pPr>
              <w:pStyle w:val="Compact"/>
              <w:jc w:val="left"/>
            </w:pPr>
            <w:r>
              <w:t xml:space="preserve">Zscore</w:t>
            </w:r>
          </w:p>
        </w:tc>
        <w:tc>
          <w:p>
            <w:pPr>
              <w:pStyle w:val="Compact"/>
              <w:jc w:val="left"/>
            </w:pPr>
            <w:r>
              <w:t xml:space="preserve">3</w:t>
            </w:r>
          </w:p>
        </w:tc>
        <w:tc>
          <w:p>
            <w:pPr>
              <w:pStyle w:val="Compact"/>
              <w:jc w:val="left"/>
            </w:pPr>
            <w:r>
              <w:t xml:space="preserve">binary.Zscore.3</w:t>
            </w:r>
          </w:p>
        </w:tc>
      </w:tr>
      <w:tr>
        <w:tc>
          <w:p>
            <w:pPr>
              <w:pStyle w:val="Compact"/>
              <w:jc w:val="left"/>
            </w:pPr>
            <w:r>
              <w:t xml:space="preserve">6</w:t>
            </w:r>
          </w:p>
        </w:tc>
        <w:tc>
          <w:p>
            <w:pPr>
              <w:pStyle w:val="Compact"/>
              <w:jc w:val="left"/>
            </w:pPr>
            <w:r>
              <w:t xml:space="preserve">weighted</w:t>
            </w:r>
          </w:p>
        </w:tc>
        <w:tc>
          <w:p>
            <w:pPr>
              <w:pStyle w:val="Compact"/>
              <w:jc w:val="left"/>
            </w:pPr>
            <w:r>
              <w:t xml:space="preserve">wgcna</w:t>
            </w:r>
          </w:p>
        </w:tc>
        <w:tc>
          <w:p>
            <w:pPr>
              <w:pStyle w:val="Compact"/>
              <w:jc w:val="left"/>
            </w:pPr>
            <w:r>
              <w:t xml:space="preserve">12</w:t>
            </w:r>
          </w:p>
        </w:tc>
        <w:tc>
          <w:p>
            <w:pPr>
              <w:pStyle w:val="Compact"/>
              <w:jc w:val="left"/>
            </w:pPr>
            <w:r>
              <w:t xml:space="preserve">weighted.wgcna.12</w:t>
            </w:r>
          </w:p>
        </w:tc>
      </w:tr>
      <w:tr>
        <w:tc>
          <w:p>
            <w:pPr>
              <w:pStyle w:val="Compact"/>
              <w:jc w:val="left"/>
            </w:pPr>
            <w:r>
              <w:t xml:space="preserve">7</w:t>
            </w:r>
          </w:p>
        </w:tc>
        <w:tc>
          <w:p>
            <w:pPr>
              <w:pStyle w:val="Compact"/>
              <w:jc w:val="left"/>
            </w:pPr>
            <w:r>
              <w:t xml:space="preserve">weighted</w:t>
            </w:r>
          </w:p>
        </w:tc>
        <w:tc>
          <w:p>
            <w:pPr>
              <w:pStyle w:val="Compact"/>
              <w:jc w:val="left"/>
            </w:pPr>
            <w:r>
              <w:t xml:space="preserve">wgcna</w:t>
            </w:r>
          </w:p>
        </w:tc>
        <w:tc>
          <w:p>
            <w:pPr>
              <w:pStyle w:val="Compact"/>
              <w:jc w:val="left"/>
            </w:pPr>
            <w:r>
              <w:t xml:space="preserve">24</w:t>
            </w:r>
          </w:p>
        </w:tc>
        <w:tc>
          <w:p>
            <w:pPr>
              <w:pStyle w:val="Compact"/>
              <w:jc w:val="left"/>
            </w:pPr>
            <w:r>
              <w:t xml:space="preserve">weighted.wgcna.24</w:t>
            </w:r>
          </w:p>
        </w:tc>
      </w:tr>
    </w:tbl>
    <w:p>
      <w:pPr>
        <w:pStyle w:val="BodyText"/>
      </w:pPr>
      <w:r>
        <w:t xml:space="preserve">Using the measurement of functional connectivity (FC) to evaluate how well the resulted network topology connects genes of similiar functions (GO, KEGG and the curated list of genes involved in symbiosis) together, WGCNA networks display higher FC (measured in AUCs) than other types of networks. Thus, following analysis and results were derived from WGCNA networks.</w:t>
      </w:r>
      <w:r>
        <w:t xml:space="preserve"> </w:t>
      </w:r>
      <w:r>
        <w:drawing>
          <wp:inline>
            <wp:extent cx="5943600" cy="5943600"/>
            <wp:effectExtent b="0" l="0" r="0" t="0"/>
            <wp:docPr descr="" title="" id="1" name="Picture"/>
            <a:graphic>
              <a:graphicData uri="http://schemas.openxmlformats.org/drawingml/2006/picture">
                <pic:pic>
                  <pic:nvPicPr>
                    <pic:cNvPr descr="img/plotFC.auc.png" id="0" name="Picture"/>
                    <pic:cNvPicPr>
                      <a:picLocks noChangeArrowheads="1" noChangeAspect="1"/>
                    </pic:cNvPicPr>
                  </pic:nvPicPr>
                  <pic:blipFill>
                    <a:blip r:embed="rId40"/>
                    <a:stretch>
                      <a:fillRect/>
                    </a:stretch>
                  </pic:blipFill>
                  <pic:spPr bwMode="auto">
                    <a:xfrm>
                      <a:off x="0" y="0"/>
                      <a:ext cx="5943600" cy="5943600"/>
                    </a:xfrm>
                    <a:prstGeom prst="rect">
                      <a:avLst/>
                    </a:prstGeom>
                    <a:noFill/>
                    <a:ln w="9525">
                      <a:noFill/>
                      <a:headEnd/>
                      <a:tailEnd/>
                    </a:ln>
                  </pic:spPr>
                </pic:pic>
              </a:graphicData>
            </a:graphic>
          </wp:inline>
        </w:drawing>
      </w:r>
    </w:p>
    <w:p>
      <w:pPr>
        <w:pStyle w:val="Heading2"/>
      </w:pPr>
      <w:bookmarkStart w:id="41" w:name="thoughts-about-functional-connectivity-of-pathways"/>
      <w:bookmarkEnd w:id="41"/>
      <w:r>
        <w:t xml:space="preserve">Thoughts about functional connectivity of pathways</w:t>
      </w:r>
    </w:p>
    <w:p>
      <w:pPr>
        <w:pStyle w:val="FirstParagraph"/>
      </w:pPr>
      <w:r>
        <w:t xml:space="preserve">Previously I planned to use KEGG pathway annotation to conduct FC analysis, as for GO annotations. Given that each mapped KO term (KEGG Orthology) refers to the molecular function of the annotated gene, KO terms need to be mapped to either reference pathway maps or organism-specific pathway maps.</w:t>
      </w:r>
    </w:p>
    <w:p>
      <w:pPr>
        <w:pStyle w:val="BodyText"/>
      </w:pPr>
      <w:hyperlink r:id="rId42">
        <w:r>
          <w:rPr>
            <w:rStyle w:val="Hyperlink"/>
          </w:rPr>
          <w:t xml:space="preserve">Lupinus angustifolius</w:t>
        </w:r>
      </w:hyperlink>
    </w:p>
    <w:sectPr w:rsidR="00FD1563" w:rsidRPr="00CA00D7" w:rsidSect="00BB39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ゴシック">
    <w:charset w:val="80"/>
    <w:family w:val="auto"/>
    <w:pitch w:val="variable"/>
    <w:sig w:usb0="E00002FF" w:usb1="6AC7FDFB" w:usb2="08000012" w:usb3="00000000" w:csb0="0002009F" w:csb1="00000000"/>
  </w:font>
  <w:font w:name="Consolas">
    <w:panose1 w:val="020B0609020204030204"/>
    <w:charset w:val="00"/>
    <w:family w:val="auto"/>
    <w:pitch w:val="variable"/>
    <w:sig w:usb0="E10002FF" w:usb1="4000FCFF" w:usb2="00000009" w:usb3="00000000" w:csb0="0000019F" w:csb1="00000000"/>
  </w:font>
  <w:font w:name="Fjord One">
    <w:altName w:val="Didot"/>
    <w:charset w:val="00"/>
    <w:family w:val="auto"/>
    <w:pitch w:val="variable"/>
    <w:sig w:usb0="A00000AF" w:usb1="40000002" w:usb2="00000000" w:usb3="00000000" w:csb0="00000191" w:csb1="00000000"/>
  </w:font>
  <w:font w:name="PMingLiU">
    <w:panose1 w:val="02020500000000000000"/>
    <w:charset w:val="88"/>
    <w:family w:val="auto"/>
    <w:pitch w:val="variable"/>
    <w:sig w:usb0="A00002FF" w:usb1="28CFFCFA" w:usb2="00000016" w:usb3="00000000" w:csb0="001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80A3BF21"/>
    <w:multiLevelType w:val="multilevel"/>
    <w:tmpl w:val="1DF0059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FFFFFF1D"/>
    <w:multiLevelType w:val="multilevel"/>
    <w:tmpl w:val="418C292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
    <w:nsid w:val="FFFFFF7D"/>
    <w:multiLevelType w:val="singleLevel"/>
    <w:tmpl w:val="85A6D2AE"/>
    <w:lvl w:ilvl="0">
      <w:start w:val="1"/>
      <w:numFmt w:val="decimal"/>
      <w:lvlText w:val="%1."/>
      <w:lvlJc w:val="left"/>
      <w:pPr>
        <w:tabs>
          <w:tab w:val="num" w:pos="1440"/>
        </w:tabs>
        <w:ind w:left="1440" w:hanging="360"/>
      </w:pPr>
    </w:lvl>
  </w:abstractNum>
  <w:abstractNum w:abstractNumId="3">
    <w:nsid w:val="FFFFFF7E"/>
    <w:multiLevelType w:val="singleLevel"/>
    <w:tmpl w:val="1032CA36"/>
    <w:lvl w:ilvl="0">
      <w:start w:val="1"/>
      <w:numFmt w:val="decimal"/>
      <w:lvlText w:val="%1."/>
      <w:lvlJc w:val="left"/>
      <w:pPr>
        <w:tabs>
          <w:tab w:val="num" w:pos="1080"/>
        </w:tabs>
        <w:ind w:left="1080" w:hanging="360"/>
      </w:pPr>
    </w:lvl>
  </w:abstractNum>
  <w:abstractNum w:abstractNumId="4">
    <w:nsid w:val="FFFFFF7F"/>
    <w:multiLevelType w:val="singleLevel"/>
    <w:tmpl w:val="1986A490"/>
    <w:lvl w:ilvl="0">
      <w:start w:val="1"/>
      <w:numFmt w:val="decimal"/>
      <w:lvlText w:val="%1."/>
      <w:lvlJc w:val="left"/>
      <w:pPr>
        <w:tabs>
          <w:tab w:val="num" w:pos="720"/>
        </w:tabs>
        <w:ind w:left="720" w:hanging="360"/>
      </w:pPr>
    </w:lvl>
  </w:abstractNum>
  <w:abstractNum w:abstractNumId="5">
    <w:nsid w:val="FFFFFF80"/>
    <w:multiLevelType w:val="singleLevel"/>
    <w:tmpl w:val="ADE2598C"/>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E4065B34"/>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511E690C"/>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9060300A"/>
    <w:lvl w:ilvl="0">
      <w:start w:val="1"/>
      <w:numFmt w:val="bullet"/>
      <w:lvlText w:val=""/>
      <w:lvlJc w:val="left"/>
      <w:pPr>
        <w:tabs>
          <w:tab w:val="num" w:pos="720"/>
        </w:tabs>
        <w:ind w:left="720" w:hanging="360"/>
      </w:pPr>
      <w:rPr>
        <w:rFonts w:ascii="Symbol" w:hAnsi="Symbol" w:hint="default"/>
      </w:rPr>
    </w:lvl>
  </w:abstractNum>
  <w:abstractNum w:abstractNumId="9">
    <w:nsid w:val="255DA1CD"/>
    <w:multiLevelType w:val="multilevel"/>
    <w:tmpl w:val="82EE88C2"/>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0">
    <w:nsid w:val="3371589D"/>
    <w:multiLevelType w:val="multilevel"/>
    <w:tmpl w:val="54B2C83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1">
    <w:nsid w:val="3A0CC6BA"/>
    <w:multiLevelType w:val="multilevel"/>
    <w:tmpl w:val="BDD2D0D8"/>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2">
    <w:nsid w:val="3DC9793F"/>
    <w:multiLevelType w:val="multilevel"/>
    <w:tmpl w:val="72B4E576"/>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3">
    <w:nsid w:val="4499682C"/>
    <w:multiLevelType w:val="hybridMultilevel"/>
    <w:tmpl w:val="72B4E576"/>
    <w:lvl w:ilvl="0" w:tplc="DBE21E3E">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66EB4C9B"/>
    <w:multiLevelType w:val="multilevel"/>
    <w:tmpl w:val="11E6F82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5">
    <w:nsid w:val="7648516F"/>
    <w:multiLevelType w:val="multilevel"/>
    <w:tmpl w:val="A144537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5415d3e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c6d3fc6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15"/>
  </w:num>
  <w:num w:numId="2">
    <w:abstractNumId w:val="0"/>
  </w:num>
  <w:num w:numId="3">
    <w:abstractNumId w:val="0"/>
  </w:num>
  <w:num w:numId="4">
    <w:abstractNumId w:val="0"/>
  </w:num>
  <w:num w:numId="5">
    <w:abstractNumId w:val="0"/>
  </w:num>
  <w:num w:numId="6">
    <w:abstractNumId w:val="0"/>
  </w:num>
  <w:num w:numId="7">
    <w:abstractNumId w:val="0"/>
  </w:num>
  <w:num w:numId="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11"/>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
    <w:abstractNumId w:val="9"/>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
    <w:abstractNumId w:val="0"/>
  </w:num>
  <w:num w:numId="13">
    <w:abstractNumId w:val="1"/>
  </w:num>
  <w:num w:numId="14">
    <w:abstractNumId w:val="2"/>
  </w:num>
  <w:num w:numId="15">
    <w:abstractNumId w:val="3"/>
  </w:num>
  <w:num w:numId="16">
    <w:abstractNumId w:val="4"/>
  </w:num>
  <w:num w:numId="17">
    <w:abstractNumId w:val="5"/>
  </w:num>
  <w:num w:numId="18">
    <w:abstractNumId w:val="6"/>
  </w:num>
  <w:num w:numId="19">
    <w:abstractNumId w:val="7"/>
  </w:num>
  <w:num w:numId="20">
    <w:abstractNumId w:val="8"/>
  </w:num>
  <w:num w:numId="21">
    <w:abstractNumId w:val="13"/>
  </w:num>
  <w:num w:numId="22">
    <w:abstractNumId w:val="12"/>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A363D9"/>
    <w:pPr>
      <w:spacing w:after="160" w:line="480" w:lineRule="auto"/>
      <w:ind w:firstLine="360"/>
    </w:pPr>
    <w:rPr>
      <w:rFonts w:ascii="Times New Roman" w:hAnsi="Times New Roman"/>
    </w:rPr>
  </w:style>
  <w:style w:type="paragraph" w:styleId="Heading1">
    <w:name w:val="heading 1"/>
    <w:basedOn w:val="Normal"/>
    <w:next w:val="Normal"/>
    <w:uiPriority w:val="9"/>
    <w:qFormat/>
    <w:rsid w:val="00A363D9"/>
    <w:pPr>
      <w:keepLines/>
      <w:spacing w:before="240" w:after="240" w:line="240" w:lineRule="auto"/>
      <w:ind w:firstLine="0"/>
      <w:outlineLvl w:val="0"/>
    </w:pPr>
    <w:rPr>
      <w:rFonts w:eastAsiaTheme="majorEastAsia" w:cstheme="majorBidi"/>
      <w:b/>
      <w:bCs/>
      <w:szCs w:val="36"/>
    </w:rPr>
  </w:style>
  <w:style w:type="paragraph" w:styleId="Heading2">
    <w:name w:val="heading 2"/>
    <w:basedOn w:val="Normal"/>
    <w:next w:val="Normal"/>
    <w:uiPriority w:val="9"/>
    <w:unhideWhenUsed/>
    <w:qFormat/>
    <w:rsid w:val="00A363D9"/>
    <w:pPr>
      <w:keepNext/>
      <w:keepLines/>
      <w:spacing w:before="240" w:after="240" w:line="240" w:lineRule="auto"/>
      <w:ind w:firstLine="0"/>
      <w:outlineLvl w:val="1"/>
    </w:pPr>
    <w:rPr>
      <w:rFonts w:eastAsiaTheme="majorEastAsia" w:cstheme="majorBidi"/>
      <w:bCs/>
      <w:smallCaps/>
    </w:rPr>
  </w:style>
  <w:style w:type="paragraph" w:styleId="Heading3">
    <w:name w:val="heading 3"/>
    <w:basedOn w:val="Normal"/>
    <w:next w:val="Normal"/>
    <w:uiPriority w:val="9"/>
    <w:unhideWhenUsed/>
    <w:qFormat/>
    <w:rsid w:val="00A363D9"/>
    <w:pPr>
      <w:keepNext/>
      <w:keepLines/>
      <w:spacing w:before="240" w:after="240" w:line="240" w:lineRule="auto"/>
      <w:ind w:firstLine="0"/>
      <w:outlineLvl w:val="2"/>
    </w:pPr>
    <w:rPr>
      <w:rFonts w:eastAsiaTheme="majorEastAsia" w:cstheme="majorBidi"/>
      <w:bCs/>
      <w:i/>
      <w:szCs w:val="28"/>
    </w:rPr>
  </w:style>
  <w:style w:type="paragraph" w:styleId="Heading4">
    <w:name w:val="heading 4"/>
    <w:basedOn w:val="Normal"/>
    <w:next w:val="Normal"/>
    <w:uiPriority w:val="9"/>
    <w:unhideWhenUsed/>
    <w:qFormat/>
    <w:rsid w:val="00A363D9"/>
    <w:pPr>
      <w:keepNext/>
      <w:keepLines/>
      <w:spacing w:before="120" w:after="120" w:line="240" w:lineRule="auto"/>
      <w:ind w:firstLine="0"/>
      <w:outlineLvl w:val="3"/>
    </w:pPr>
    <w:rPr>
      <w:rFonts w:eastAsiaTheme="majorEastAsia" w:cstheme="majorBidi"/>
      <w:b/>
      <w:bCs/>
    </w:rPr>
  </w:style>
  <w:style w:type="paragraph" w:styleId="Heading5">
    <w:name w:val="heading 5"/>
    <w:basedOn w:val="Normal"/>
    <w:next w:val="Normal"/>
    <w:uiPriority w:val="9"/>
    <w:unhideWhenUsed/>
    <w:qFormat/>
    <w:rsid w:val="00A363D9"/>
    <w:pPr>
      <w:keepNext/>
      <w:keepLines/>
      <w:spacing w:before="120" w:after="120" w:line="240" w:lineRule="auto"/>
      <w:ind w:firstLine="0"/>
      <w:outlineLvl w:val="4"/>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rsid w:val="00DB3315"/>
    <w:pPr>
      <w:spacing w:before="100" w:beforeAutospacing="1" w:after="100" w:afterAutospacing="1" w:line="240" w:lineRule="auto"/>
      <w:ind w:firstLine="0"/>
    </w:pPr>
  </w:style>
  <w:style w:type="paragraph" w:styleId="Title">
    <w:name w:val="Title"/>
    <w:basedOn w:val="Normal"/>
    <w:next w:val="Authors"/>
    <w:qFormat/>
    <w:rsid w:val="00C24DFC"/>
    <w:pPr>
      <w:keepNext/>
      <w:keepLines/>
      <w:spacing w:before="240" w:after="240"/>
      <w:jc w:val="center"/>
    </w:pPr>
    <w:rPr>
      <w:rFonts w:eastAsiaTheme="majorEastAsia" w:cstheme="majorBidi"/>
      <w:b/>
      <w:bCs/>
      <w:szCs w:val="36"/>
    </w:rPr>
  </w:style>
  <w:style w:type="paragraph" w:customStyle="1" w:styleId="Authors">
    <w:name w:val="Authors"/>
    <w:next w:val="Normal"/>
    <w:qFormat/>
    <w:rsid w:val="00C24DFC"/>
    <w:pPr>
      <w:keepNext/>
      <w:keepLines/>
      <w:jc w:val="center"/>
    </w:pPr>
    <w:rPr>
      <w:rFonts w:ascii="Times New Roman" w:hAnsi="Times New Roman"/>
    </w:rPr>
  </w:style>
  <w:style w:type="paragraph" w:styleId="Date">
    <w:name w:val="Date"/>
    <w:next w:val="Normal"/>
    <w:qFormat/>
    <w:rsid w:val="00C24DFC"/>
    <w:pPr>
      <w:keepNext/>
      <w:keepLines/>
      <w:jc w:val="center"/>
    </w:pPr>
    <w:rPr>
      <w:rFonts w:ascii="Times New Roman" w:hAnsi="Times New Roman"/>
    </w:rPr>
  </w:style>
  <w:style w:type="paragraph" w:customStyle="1" w:styleId="BlockQuote">
    <w:name w:val="Block Quote"/>
    <w:basedOn w:val="Normal"/>
    <w:next w:val="Normal"/>
    <w:uiPriority w:val="9"/>
    <w:unhideWhenUsed/>
    <w:qFormat/>
    <w:rsid w:val="00C24DFC"/>
    <w:pPr>
      <w:spacing w:before="240" w:after="240" w:line="240" w:lineRule="auto"/>
      <w:ind w:left="1440" w:right="1440"/>
    </w:pPr>
    <w:rPr>
      <w:rFonts w:eastAsiaTheme="majorEastAsia" w:cstheme="majorBidi"/>
      <w:bCs/>
      <w:szCs w:val="20"/>
    </w:rPr>
  </w:style>
  <w:style w:type="paragraph" w:styleId="FootnoteText">
    <w:name w:val="footnote text"/>
    <w:basedOn w:val="Normal"/>
    <w:uiPriority w:val="9"/>
    <w:unhideWhenUsed/>
    <w:qFormat/>
    <w:rsid w:val="000B4687"/>
    <w:pPr>
      <w:spacing w:after="120" w:line="240" w:lineRule="auto"/>
      <w:ind w:firstLine="0"/>
    </w:pPr>
    <w:rPr>
      <w:sz w:val="20"/>
    </w:rPr>
  </w:style>
  <w:style w:type="paragraph" w:customStyle="1" w:styleId="DefinitionTerm">
    <w:name w:val="Definition Term"/>
    <w:basedOn w:val="Normal"/>
    <w:next w:val="Definition"/>
    <w:rsid w:val="00C24DFC"/>
    <w:pPr>
      <w:keepNext/>
      <w:keepLines/>
    </w:pPr>
    <w:rPr>
      <w:bCs/>
      <w:caps/>
      <w:sz w:val="20"/>
    </w:rPr>
  </w:style>
  <w:style w:type="paragraph" w:customStyle="1" w:styleId="Definition">
    <w:name w:val="Definition"/>
    <w:basedOn w:val="Normal"/>
    <w:rsid w:val="00C24DFC"/>
  </w:style>
  <w:style w:type="paragraph" w:styleId="BodyText">
    <w:name w:val="Body Text"/>
    <w:basedOn w:val="Normal"/>
    <w:rsid w:val="00C24DFC"/>
    <w:pPr>
      <w:spacing w:after="120"/>
    </w:pPr>
  </w:style>
  <w:style w:type="paragraph" w:customStyle="1" w:styleId="TableCaption">
    <w:name w:val="Table Caption"/>
    <w:basedOn w:val="Normal"/>
    <w:rsid w:val="00C24DFC"/>
    <w:pPr>
      <w:spacing w:after="120" w:line="240" w:lineRule="auto"/>
    </w:p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sid w:val="007C1813"/>
    <w:rPr>
      <w:rFonts w:ascii="Consolas" w:hAnsi="Consolas"/>
    </w:rPr>
  </w:style>
  <w:style w:type="character" w:customStyle="1" w:styleId="FootnoteRef">
    <w:name w:val="Footnote Ref"/>
    <w:basedOn w:val="BodyTextChar"/>
    <w:rPr>
      <w:vertAlign w:val="superscript"/>
    </w:rPr>
  </w:style>
  <w:style w:type="character" w:customStyle="1" w:styleId="Link">
    <w:name w:val="Link"/>
    <w:basedOn w:val="BodyTextChar"/>
    <w:rsid w:val="007C1813"/>
    <w:rPr>
      <w:rFonts w:ascii="Fjord One" w:hAnsi="Fjord One"/>
      <w:color w:val="4F81BD" w:themeColor="accent1"/>
      <w:sz w:val="24"/>
    </w:rPr>
  </w:style>
  <w:style w:type="paragraph" w:customStyle="1" w:styleId="SourceCode">
    <w:name w:val="Source Code"/>
    <w:basedOn w:val="Normal"/>
    <w:link w:val="VerbatimChar"/>
    <w:rsid w:val="007C1813"/>
    <w:pPr>
      <w:wordWrap w:val="0"/>
    </w:pPr>
    <w:rPr>
      <w:rFonts w:ascii="Consolas" w:hAnsi="Consolas"/>
    </w:rPr>
  </w:style>
  <w:style w:type="character" w:customStyle="1" w:styleId="KeywordTok">
    <w:name w:val="KeywordTok"/>
    <w:basedOn w:val="VerbatimChar"/>
    <w:rPr>
      <w:rFonts w:ascii="Consolas" w:hAnsi="Consolas"/>
      <w:b/>
      <w:color w:val="007020"/>
    </w:rPr>
  </w:style>
  <w:style w:type="character" w:customStyle="1" w:styleId="DataTypeTok">
    <w:name w:val="DataTypeTok"/>
    <w:basedOn w:val="VerbatimChar"/>
    <w:rPr>
      <w:rFonts w:ascii="Consolas" w:hAnsi="Consolas"/>
      <w:color w:val="902000"/>
    </w:rPr>
  </w:style>
  <w:style w:type="character" w:customStyle="1" w:styleId="DecValTok">
    <w:name w:val="DecValTok"/>
    <w:basedOn w:val="VerbatimChar"/>
    <w:rPr>
      <w:rFonts w:ascii="Consolas" w:hAnsi="Consolas"/>
      <w:color w:val="40A070"/>
    </w:rPr>
  </w:style>
  <w:style w:type="character" w:customStyle="1" w:styleId="BaseNTok">
    <w:name w:val="BaseNTok"/>
    <w:basedOn w:val="VerbatimChar"/>
    <w:rPr>
      <w:rFonts w:ascii="Consolas" w:hAnsi="Consolas"/>
      <w:color w:val="40A070"/>
    </w:rPr>
  </w:style>
  <w:style w:type="character" w:customStyle="1" w:styleId="FloatTok">
    <w:name w:val="FloatTok"/>
    <w:basedOn w:val="VerbatimChar"/>
    <w:rPr>
      <w:rFonts w:ascii="Consolas" w:hAnsi="Consolas"/>
      <w:color w:val="40A070"/>
    </w:rPr>
  </w:style>
  <w:style w:type="character" w:customStyle="1" w:styleId="CharTok">
    <w:name w:val="CharTok"/>
    <w:basedOn w:val="VerbatimChar"/>
    <w:rPr>
      <w:rFonts w:ascii="Consolas" w:hAnsi="Consolas"/>
      <w:color w:val="4070A0"/>
    </w:rPr>
  </w:style>
  <w:style w:type="character" w:customStyle="1" w:styleId="StringTok">
    <w:name w:val="StringTok"/>
    <w:basedOn w:val="VerbatimChar"/>
    <w:rPr>
      <w:rFonts w:ascii="Consolas" w:hAnsi="Consolas"/>
      <w:color w:val="4070A0"/>
    </w:rPr>
  </w:style>
  <w:style w:type="character" w:customStyle="1" w:styleId="CommentTok">
    <w:name w:val="CommentTok"/>
    <w:basedOn w:val="VerbatimChar"/>
    <w:rPr>
      <w:rFonts w:ascii="Consolas" w:hAnsi="Consolas"/>
      <w:i/>
      <w:color w:val="60A0B0"/>
    </w:rPr>
  </w:style>
  <w:style w:type="character" w:customStyle="1" w:styleId="OtherTok">
    <w:name w:val="OtherTok"/>
    <w:basedOn w:val="VerbatimChar"/>
    <w:rPr>
      <w:rFonts w:ascii="Consolas" w:hAnsi="Consolas"/>
      <w:color w:val="007020"/>
    </w:rPr>
  </w:style>
  <w:style w:type="character" w:customStyle="1" w:styleId="AlertTok">
    <w:name w:val="AlertTok"/>
    <w:basedOn w:val="VerbatimChar"/>
    <w:rPr>
      <w:rFonts w:ascii="Consolas" w:hAnsi="Consolas"/>
      <w:b/>
      <w:color w:val="FF0000"/>
    </w:rPr>
  </w:style>
  <w:style w:type="character" w:customStyle="1" w:styleId="FunctionTok">
    <w:name w:val="FunctionTok"/>
    <w:basedOn w:val="VerbatimChar"/>
    <w:rPr>
      <w:rFonts w:ascii="Consolas" w:hAnsi="Consolas"/>
      <w:color w:val="06287E"/>
    </w:rPr>
  </w:style>
  <w:style w:type="character" w:customStyle="1" w:styleId="RegionMarkerTok">
    <w:name w:val="RegionMarkerTok"/>
    <w:basedOn w:val="VerbatimChar"/>
    <w:rPr>
      <w:rFonts w:ascii="Consolas" w:hAnsi="Consolas"/>
    </w:rPr>
  </w:style>
  <w:style w:type="character" w:customStyle="1" w:styleId="ErrorTok">
    <w:name w:val="ErrorTok"/>
    <w:basedOn w:val="VerbatimChar"/>
    <w:rPr>
      <w:rFonts w:ascii="Consolas" w:hAnsi="Consolas"/>
      <w:b/>
      <w:color w:val="FF0000"/>
    </w:rPr>
  </w:style>
  <w:style w:type="character" w:customStyle="1" w:styleId="NormalTok">
    <w:name w:val="NormalTok"/>
    <w:basedOn w:val="VerbatimChar"/>
    <w:rPr>
      <w:rFonts w:ascii="Consolas" w:hAnsi="Consolas"/>
    </w:rPr>
  </w:style>
  <w:style w:type="character" w:customStyle="1" w:styleId="ConstantTok">
    <w:name w:val="ConstantTok"/>
    <w:basedOn w:val="VerbatimChar"/>
    <w:rPr>
      <w:color w:val="880000"/>
    </w:rPr>
  </w:style>
  <w:style w:type="character" w:customStyle="1" w:styleId="SpecialCharTok">
    <w:name w:val="SpecialChar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2" Target="media/rId22.png" /><Relationship Type="http://schemas.openxmlformats.org/officeDocument/2006/relationships/image" Id="rId40" Target="media/rId40.png" /><Relationship Type="http://schemas.openxmlformats.org/officeDocument/2006/relationships/hyperlink" Id="rId36" Target="" TargetMode="External" /><Relationship Type="http://schemas.openxmlformats.org/officeDocument/2006/relationships/hyperlink" Id="rId30" Target="http://bioconductor.org/packages/2.2/bioc/html/GraphAlignment.html" TargetMode="External" /><Relationship Type="http://schemas.openxmlformats.org/officeDocument/2006/relationships/hyperlink" Id="rId34" Target="http://graemlin.stanford.edu/download.php" TargetMode="External" /><Relationship Type="http://schemas.openxmlformats.org/officeDocument/2006/relationships/hyperlink" Id="rId27" Target="http://groups.csail.mit.edu/cb/mna/" TargetMode="External" /><Relationship Type="http://schemas.openxmlformats.org/officeDocument/2006/relationships/hyperlink" Id="rId31" Target="http://haddock6.sfsu.edu/smal/smal.py?page=home" TargetMode="External" /><Relationship Type="http://schemas.openxmlformats.org/officeDocument/2006/relationships/hyperlink" Id="rId32" Target="http://ttic.uchicago.edu/~hashemifar/ModuleAlign.html" TargetMode="External" /><Relationship Type="http://schemas.openxmlformats.org/officeDocument/2006/relationships/hyperlink" Id="rId29" Target="http://www.cs.tau.ac.il/%7Ebnet/License-nbm.htm" TargetMode="External" /><Relationship Type="http://schemas.openxmlformats.org/officeDocument/2006/relationships/hyperlink" Id="rId42" Target="http://www.kegg.jp/kegg-bin/show_pathway?lang01100" TargetMode="External" /><Relationship Type="http://schemas.openxmlformats.org/officeDocument/2006/relationships/hyperlink" Id="rId28" Target="http://www3.nd.edu/~cone/multiMAGNA++/" TargetMode="External" /><Relationship Type="http://schemas.openxmlformats.org/officeDocument/2006/relationships/hyperlink" Id="rId33" Target="https://arxiv.org/abs/1607.02642" TargetMode="External" /><Relationship Type="http://schemas.openxmlformats.org/officeDocument/2006/relationships/hyperlink" Id="rId26" Target="https://github.com/gersteinlab/OrthoClust" TargetMode="External" /></Relationships>
</file>

<file path=word/_rels/footnotes.xml.rels><?xml version="1.0" encoding="UTF-8"?>
<Relationships xmlns="http://schemas.openxmlformats.org/package/2006/relationships"><Relationship Type="http://schemas.openxmlformats.org/officeDocument/2006/relationships/hyperlink" Id="rId36" Target="" TargetMode="External" /><Relationship Type="http://schemas.openxmlformats.org/officeDocument/2006/relationships/hyperlink" Id="rId30" Target="http://bioconductor.org/packages/2.2/bioc/html/GraphAlignment.html" TargetMode="External" /><Relationship Type="http://schemas.openxmlformats.org/officeDocument/2006/relationships/hyperlink" Id="rId34" Target="http://graemlin.stanford.edu/download.php" TargetMode="External" /><Relationship Type="http://schemas.openxmlformats.org/officeDocument/2006/relationships/hyperlink" Id="rId27" Target="http://groups.csail.mit.edu/cb/mna/" TargetMode="External" /><Relationship Type="http://schemas.openxmlformats.org/officeDocument/2006/relationships/hyperlink" Id="rId31" Target="http://haddock6.sfsu.edu/smal/smal.py?page=home" TargetMode="External" /><Relationship Type="http://schemas.openxmlformats.org/officeDocument/2006/relationships/hyperlink" Id="rId32" Target="http://ttic.uchicago.edu/~hashemifar/ModuleAlign.html" TargetMode="External" /><Relationship Type="http://schemas.openxmlformats.org/officeDocument/2006/relationships/hyperlink" Id="rId29" Target="http://www.cs.tau.ac.il/%7Ebnet/License-nbm.htm" TargetMode="External" /><Relationship Type="http://schemas.openxmlformats.org/officeDocument/2006/relationships/hyperlink" Id="rId42" Target="http://www.kegg.jp/kegg-bin/show_pathway?lang01100" TargetMode="External" /><Relationship Type="http://schemas.openxmlformats.org/officeDocument/2006/relationships/hyperlink" Id="rId28" Target="http://www3.nd.edu/~cone/multiMAGNA++/" TargetMode="External" /><Relationship Type="http://schemas.openxmlformats.org/officeDocument/2006/relationships/hyperlink" Id="rId33" Target="https://arxiv.org/abs/1607.02642" TargetMode="External" /><Relationship Type="http://schemas.openxmlformats.org/officeDocument/2006/relationships/hyperlink" Id="rId26" Target="https://github.com/gersteinlab/OrthoClus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7</Pages>
  <Words>786</Words>
  <Characters>4483</Characters>
  <Application>Microsoft Macintosh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Pandoc Markdown Example Document</vt:lpstr>
    </vt:vector>
  </TitlesOfParts>
  <Company/>
  <LinksUpToDate>false</LinksUpToDate>
  <CharactersWithSpaces>5259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Network analysis of symbiotic association in Lupinus</dc:title>
  <dc:creator>Guanjing Hu</dc:creator>
  <dcterms:created xsi:type="dcterms:W3CDTF">2017-06-06T16:31:52Z</dcterms:created>
  <dcterms:modified xsi:type="dcterms:W3CDTF">2017-06-06T16:31:52Z</dcterms:modified>
</cp:coreProperties>
</file>