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5.png" ContentType="image/png"/>
  <Override PartName="/word/media/rId29.png" ContentType="image/png"/>
  <Override PartName="/word/media/rId37.png" ContentType="image/png"/>
  <Override PartName="/word/media/rId28.png" ContentType="image/png"/>
  <Override PartName="/word/media/rId33.png" ContentType="image/png"/>
  <Override PartName="/word/media/rId31.png" ContentType="image/png"/>
  <Override PartName="/word/media/rId30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39.png" ContentType="image/png"/>
  <Override PartName="/word/media/rId57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Cholera</w:t>
      </w:r>
      <w:r>
        <w:t xml:space="preserve"> </w:t>
      </w:r>
      <w:r>
        <w:t xml:space="preserve">outbreak</w:t>
      </w:r>
      <w:r>
        <w:t xml:space="preserve"> </w:t>
      </w:r>
      <w:r>
        <w:t xml:space="preserve">report</w:t>
      </w:r>
    </w:p>
    <w:bookmarkStart w:id="61" w:name="introduction-to-this-template"/>
    <w:p>
      <w:pPr>
        <w:pStyle w:val="Heading1"/>
      </w:pPr>
      <w:r>
        <w:t xml:space="preserve">Introduction to this template</w:t>
      </w:r>
    </w:p>
    <w:p>
      <w:pPr>
        <w:pStyle w:val="FirstParagraph"/>
      </w:pPr>
      <w:r>
        <w:t xml:space="preserve">This is a template which can be used to create an automated outbreak situation</w:t>
      </w:r>
      <w:r>
        <w:t xml:space="preserve"> </w:t>
      </w:r>
      <w:r>
        <w:t xml:space="preserve">report for cholera.</w:t>
      </w:r>
    </w:p>
    <w:p>
      <w:pPr>
        <w:numPr>
          <w:ilvl w:val="0"/>
          <w:numId w:val="1001"/>
        </w:numPr>
        <w:pStyle w:val="Compact"/>
      </w:pPr>
      <w:r>
        <w:t xml:space="preserve">It is organised by time, place and person.</w:t>
      </w:r>
      <w:r>
        <w:t xml:space="preserve"> </w:t>
      </w:r>
      <w:r>
        <w:t xml:space="preserve">For a more detailed explanation of this template, please visit</w:t>
      </w:r>
      <w:r>
        <w:t xml:space="preserve"> </w:t>
      </w:r>
      <w:hyperlink r:id="rId20">
        <w:r>
          <w:rPr>
            <w:rStyle w:val="Hyperlink"/>
          </w:rPr>
          <w:t xml:space="preserve">https://r4epis.netlify.com/outbreaks</w:t>
        </w:r>
      </w:hyperlink>
    </w:p>
    <w:p>
      <w:pPr>
        <w:numPr>
          <w:ilvl w:val="0"/>
          <w:numId w:val="1001"/>
        </w:numPr>
        <w:pStyle w:val="Compact"/>
      </w:pPr>
      <w:r>
        <w:t xml:space="preserve">Feedback and suggestions are welcome at the</w:t>
      </w:r>
      <w:r>
        <w:t xml:space="preserve"> </w:t>
      </w:r>
      <w:hyperlink r:id="rId21">
        <w:r>
          <w:rPr>
            <w:rStyle w:val="Hyperlink"/>
          </w:rPr>
          <w:t xml:space="preserve">GitHub issues page</w:t>
        </w:r>
      </w:hyperlink>
    </w:p>
    <w:p>
      <w:pPr>
        <w:numPr>
          <w:ilvl w:val="0"/>
          <w:numId w:val="1001"/>
        </w:numPr>
        <w:pStyle w:val="Compact"/>
      </w:pPr>
      <w:r>
        <w:t xml:space="preserve">Text within &lt;! &gt; will not show in your final document. These comments are used</w:t>
      </w:r>
      <w:r>
        <w:t xml:space="preserve"> </w:t>
      </w:r>
      <w:r>
        <w:t xml:space="preserve">to explain the template. You can delete them if you want.</w:t>
      </w:r>
    </w:p>
    <w:bookmarkStart w:id="60" w:name="installing-and-loading-required-packages"/>
    <w:p>
      <w:pPr>
        <w:pStyle w:val="Heading2"/>
      </w:pPr>
      <w:r>
        <w:t xml:space="preserve">Installing and loading required packages</w:t>
      </w:r>
    </w:p>
    <w:bookmarkStart w:id="27" w:name="person"/>
    <w:p>
      <w:pPr>
        <w:pStyle w:val="Heading3"/>
      </w:pPr>
      <w:r>
        <w:t xml:space="preserve">Person</w:t>
      </w:r>
    </w:p>
    <w:p>
      <w:pPr>
        <w:pStyle w:val="FirstParagraph"/>
      </w:pPr>
      <w:r>
        <w:t xml:space="preserve">From the start of the outbreak up until 2019-W25 there were a</w:t>
      </w:r>
      <w:r>
        <w:t xml:space="preserve"> </w:t>
      </w:r>
      <w:r>
        <w:t xml:space="preserve">total of 300 cases. There were</w:t>
      </w:r>
      <w:r>
        <w:t xml:space="preserve"> </w:t>
      </w:r>
      <w:r>
        <w:t xml:space="preserve">98 (32.7%) females and</w:t>
      </w:r>
      <w:r>
        <w:t xml:space="preserve"> </w:t>
      </w:r>
      <w:r>
        <w:t xml:space="preserve">102 (34.0%) males.</w:t>
      </w:r>
    </w:p>
    <w:p>
      <w:pPr>
        <w:pStyle w:val="BodyText"/>
      </w:pPr>
      <w:r>
        <w:t xml:space="preserve">The most affected age group was 45+ years.</w:t>
      </w:r>
    </w:p>
    <w:bookmarkStart w:id="23" w:name="demographics"/>
    <w:p>
      <w:pPr>
        <w:pStyle w:val="Heading4"/>
      </w:pPr>
      <w:r>
        <w:t xml:space="preserve">Demographics</w:t>
      </w:r>
    </w:p>
    <w:p>
      <w:pPr>
        <w:pStyle w:val="FirstParagraph"/>
      </w:pPr>
      <w:r>
        <w:t xml:space="preserve">Cases by age group and definition</w:t>
      </w:r>
      <w:r>
        <w:t xml:space="preserve"> 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870"/>
        <w:gridCol w:w="1740"/>
        <w:gridCol w:w="522"/>
        <w:gridCol w:w="1653"/>
        <w:gridCol w:w="348"/>
        <w:gridCol w:w="1740"/>
        <w:gridCol w:w="522"/>
        <w:gridCol w:w="522"/>
      </w:tblGrid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Confirmed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Probable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Suspected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13.1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8.7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16.8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10.7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p>
            <w:pPr>
              <w:pStyle w:val="Compact"/>
              <w:jc w:val="right"/>
            </w:pPr>
            <w:r>
              <w:t xml:space="preserve">57.9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69.6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214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100</w:t>
            </w:r>
          </w:p>
        </w:tc>
        <w:tc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There were 100 (33.3%) cases missing information on sex and 0 (0.0%) missing age group.</w:t>
      </w:r>
    </w:p>
    <w:p>
      <w:pPr>
        <w:pStyle w:val="BodyText"/>
      </w:pPr>
      <w:r>
        <w:t xml:space="preserve">Cases by age group and sex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Male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Female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Missing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13.7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16.7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16.3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8.8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12.2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59.8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57.1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98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100</w:t>
            </w:r>
          </w:p>
        </w:tc>
        <w:tc>
          <w:p>
            <w:pPr>
              <w:pStyle w:val="Compact"/>
              <w:jc w:val="right"/>
            </w:pPr>
            <w:r>
              <w:t xml:space="preserve">100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Cases by population proportion (age group and sex)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Male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Female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Missing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5.7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20.3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21.7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34.0</w:t>
            </w:r>
          </w:p>
        </w:tc>
        <w:tc>
          <w:p>
            <w:pPr>
              <w:pStyle w:val="Compact"/>
              <w:jc w:val="right"/>
            </w:pPr>
            <w:r>
              <w:t xml:space="preserve">98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100</w:t>
            </w:r>
          </w:p>
        </w:tc>
        <w:tc>
          <w:p>
            <w:pPr>
              <w:pStyle w:val="Compact"/>
              <w:jc w:val="right"/>
            </w:pPr>
            <w:r>
              <w:t xml:space="preserve">33.3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Age pyramid</w:t>
      </w:r>
      <w:r>
        <w:t xml:space="preserve"> 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age_pyrami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Of the patients, 102 (34.0%) were seen as outpatients and 198 (66.0%) were inpatients. Among inpatients, the median number of days admitted was 20,</w:t>
      </w:r>
      <w:r>
        <w:t xml:space="preserve"> </w:t>
      </w:r>
      <w:r>
        <w:t xml:space="preserve">with a range between 1 and 109 days.</w:t>
      </w:r>
    </w:p>
    <w:p>
      <w:pPr>
        <w:pStyle w:val="BodyText"/>
      </w:pPr>
      <w:r>
        <w:t xml:space="preserve">From the start of the outbreak, 69 (23.0%) patients recevied treatment plan</w:t>
      </w:r>
      <w:r>
        <w:t xml:space="preserve"> </w:t>
      </w:r>
      <w:r>
        <w:t xml:space="preserve">A, 68 (22.7%)</w:t>
      </w:r>
      <w:r>
        <w:t xml:space="preserve"> </w:t>
      </w:r>
      <w:r>
        <w:t xml:space="preserve">received treatment plan B, and 55 (18.3%) received treatment plan C.</w:t>
      </w:r>
    </w:p>
    <w:p>
      <w:pPr>
        <w:pStyle w:val="BodyText"/>
      </w:pPr>
      <w:r>
        <w:t xml:space="preserve">Cases by treatment plan and case definition</w:t>
      </w:r>
      <w:r>
        <w:t xml:space="preserve"> 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630"/>
        <w:gridCol w:w="1552"/>
        <w:gridCol w:w="465"/>
        <w:gridCol w:w="1475"/>
        <w:gridCol w:w="310"/>
        <w:gridCol w:w="1552"/>
        <w:gridCol w:w="465"/>
        <w:gridCol w:w="465"/>
      </w:tblGrid>
      <w:tr>
        <w:tc>
          <w:p>
            <w:pPr>
              <w:pStyle w:val="Compact"/>
              <w:jc w:val="left"/>
            </w:pPr>
            <w:r>
              <w:t xml:space="preserve">Fluid treatment plan</w:t>
            </w:r>
          </w:p>
        </w:tc>
        <w:tc>
          <w:p>
            <w:pPr>
              <w:pStyle w:val="Compact"/>
              <w:jc w:val="right"/>
            </w:pPr>
            <w:r>
              <w:t xml:space="preserve">Confirmed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Probable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Suspected 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14.5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plan A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23.4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23.9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plan B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p>
            <w:pPr>
              <w:pStyle w:val="Compact"/>
              <w:jc w:val="right"/>
            </w:pPr>
            <w:r>
              <w:t xml:space="preserve">23.8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28.3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plan C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214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100</w:t>
            </w:r>
          </w:p>
        </w:tc>
        <w:tc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The median number of days admitted was 20,</w:t>
      </w:r>
      <w:r>
        <w:t xml:space="preserve"> </w:t>
      </w:r>
      <w:r>
        <w:t xml:space="preserve">with a range between 1 and 109 days.</w:t>
      </w:r>
      <w:r>
        <w:t xml:space="preserve"> </w:t>
      </w:r>
      <w:r>
        <w:t xml:space="preserve">A total of 96 (32.0%) patients were readmitted to the CTC.</w:t>
      </w:r>
    </w:p>
    <w:p>
      <w:pPr>
        <w:pStyle w:val="BodyText"/>
      </w:pPr>
      <w:r>
        <w:t xml:space="preserve">Cases by dehydration severity at admission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Dehydration severity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Severe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p>
            <w:pPr>
              <w:pStyle w:val="Compact"/>
              <w:jc w:val="right"/>
            </w:pPr>
            <w:r>
              <w:t xml:space="preserve">23.0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Some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24.7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23.7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28.7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p>
      <w:pPr>
        <w:pStyle w:val="BodyText"/>
      </w:pPr>
      <w:r>
        <w:t xml:space="preserve">Cases by dehydration severity during stay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Dehydration severity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Severe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26.0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Some</w:t>
            </w:r>
          </w:p>
        </w:tc>
        <w:tc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p>
            <w:pPr>
              <w:pStyle w:val="Compact"/>
              <w:jc w:val="right"/>
            </w:pPr>
            <w:r>
              <w:t xml:space="preserve">22.7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24.7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80</w:t>
            </w:r>
          </w:p>
        </w:tc>
        <w:tc>
          <w:p>
            <w:pPr>
              <w:pStyle w:val="Compact"/>
              <w:jc w:val="right"/>
            </w:pPr>
            <w:r>
              <w:t xml:space="preserve">26.7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p>
      <w:pPr>
        <w:pStyle w:val="BodyText"/>
      </w:pPr>
      <w:r>
        <w:t xml:space="preserve">Cases by lab results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## Note: Using an external vector in selections is ambiguous.</w:t>
      </w:r>
      <w:r>
        <w:br/>
      </w:r>
      <w:r>
        <w:rPr>
          <w:rStyle w:val="VerbatimChar"/>
        </w:rPr>
        <w:t xml:space="preserve">## ℹ Use `all_of(LABS)` instead of `LABS` to silence this message.</w:t>
      </w:r>
      <w:r>
        <w:br/>
      </w:r>
      <w:r>
        <w:rPr>
          <w:rStyle w:val="VerbatimChar"/>
        </w:rPr>
        <w:t xml:space="preserve">## ℹ See &lt;https://tidyselect.r-lib.org/reference/faq-external-vector.html&gt;.</w:t>
      </w:r>
      <w:r>
        <w:br/>
      </w:r>
      <w:r>
        <w:rPr>
          <w:rStyle w:val="VerbatimChar"/>
        </w:rPr>
        <w:t xml:space="preserve">## This message is displayed once per session.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Results</w:t>
            </w:r>
          </w:p>
        </w:tc>
        <w:tc>
          <w:p>
            <w:pPr>
              <w:pStyle w:val="Compact"/>
              <w:jc w:val="right"/>
            </w:pPr>
            <w:r>
              <w:t xml:space="preserve">Culture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PCR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RDT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 done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17.3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15.7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Negative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16.7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p>
            <w:pPr>
              <w:pStyle w:val="Compact"/>
              <w:jc w:val="right"/>
            </w:pPr>
            <w:r>
              <w:t xml:space="preserve">17.0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18.3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Positive O1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11.0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13.3</w:t>
            </w:r>
          </w:p>
        </w:tc>
        <w:tc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p>
            <w:pPr>
              <w:pStyle w:val="Compact"/>
              <w:jc w:val="right"/>
            </w:pPr>
            <w:r>
              <w:t xml:space="preserve">15.3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Positive O139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19.7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p>
            <w:pPr>
              <w:pStyle w:val="Compact"/>
              <w:jc w:val="right"/>
            </w:pPr>
            <w:r>
              <w:t xml:space="preserve">16.0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Positive O1 &amp; O139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17.3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16.3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p>
            <w:pPr>
              <w:pStyle w:val="Compact"/>
              <w:jc w:val="right"/>
            </w:pPr>
            <w:r>
              <w:t xml:space="preserve">16.0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Invalid/contaminated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15.7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p>
      <w:pPr>
        <w:pStyle w:val="BodyText"/>
      </w:pPr>
      <w:r>
        <w:t xml:space="preserve">Cases by vaccination status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Vaccination status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Yes - vaccination card/ink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26.0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Yes - verbal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28.0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23.7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Unsure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22.3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bookmarkEnd w:id="23"/>
    <w:bookmarkStart w:id="24" w:name="case-fatality-ratio"/>
    <w:p>
      <w:pPr>
        <w:pStyle w:val="Heading4"/>
      </w:pPr>
      <w:r>
        <w:t xml:space="preserve">Case fatality ratio</w:t>
      </w:r>
    </w:p>
    <w:p>
      <w:pPr>
        <w:pStyle w:val="FirstParagraph"/>
      </w:pPr>
      <w:r>
        <w:t xml:space="preserve">Of 198 (66.0%) inpatients, there have been 56 (18.7%) deaths, of which</w:t>
      </w:r>
      <w:r>
        <w:t xml:space="preserve"> </w:t>
      </w:r>
      <w:r>
        <w:t xml:space="preserve">48 (16.0%)</w:t>
      </w:r>
      <w:r>
        <w:t xml:space="preserve"> </w:t>
      </w:r>
      <w:r>
        <w:t xml:space="preserve">were dead on arrival.</w:t>
      </w:r>
    </w:p>
    <w:p>
      <w:pPr>
        <w:pStyle w:val="BodyText"/>
      </w:pPr>
      <w:r>
        <w:t xml:space="preserve">Among inpatients who died, the time to death is shown below.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Time (hours)</w:t>
            </w:r>
          </w:p>
        </w:tc>
        <w:tc>
          <w:p>
            <w:pPr>
              <w:pStyle w:val="Compact"/>
              <w:jc w:val="right"/>
            </w:pPr>
            <w:r>
              <w:t xml:space="preserve">Deaths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0-4 hours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21.4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&gt;4-24 hours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28.6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&gt;24-48 hours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17.9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&gt;48 hours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32.1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</w:tr>
    </w:tbl>
    <w:p>
      <w:pPr>
        <w:pStyle w:val="BodyText"/>
      </w:pPr>
      <w:r>
        <w:t xml:space="preserve">The case fatality ratio among inpatients with known outcomes is below.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Cases</w:t>
            </w:r>
          </w:p>
        </w:tc>
        <w:tc>
          <w:p>
            <w:pPr>
              <w:pStyle w:val="Compact"/>
              <w:jc w:val="right"/>
            </w:pPr>
            <w:r>
              <w:t xml:space="preserve">CFR (%)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p>
            <w:pPr>
              <w:pStyle w:val="Compact"/>
              <w:jc w:val="right"/>
            </w:pPr>
            <w:r>
              <w:t xml:space="preserve">28.3</w:t>
            </w:r>
          </w:p>
        </w:tc>
        <w:tc>
          <w:p>
            <w:pPr>
              <w:pStyle w:val="Compact"/>
              <w:jc w:val="left"/>
            </w:pPr>
            <w:r>
              <w:t xml:space="preserve">(22.47–34.92)</w:t>
            </w:r>
          </w:p>
        </w:tc>
      </w:tr>
    </w:tbl>
    <w:p>
      <w:pPr>
        <w:pStyle w:val="BodyText"/>
      </w:pPr>
      <w:r>
        <w:t xml:space="preserve">The case fatality ratio by sex among inpatients with known outcomes is below.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Cases</w:t>
            </w:r>
          </w:p>
        </w:tc>
        <w:tc>
          <w:p>
            <w:pPr>
              <w:pStyle w:val="Compact"/>
              <w:jc w:val="right"/>
            </w:pPr>
            <w:r>
              <w:t xml:space="preserve">CFR (%)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  <w:tc>
          <w:p>
            <w:pPr>
              <w:pStyle w:val="Compact"/>
              <w:jc w:val="right"/>
            </w:pPr>
            <w:r>
              <w:t xml:space="preserve">22.7</w:t>
            </w:r>
          </w:p>
        </w:tc>
        <w:tc>
          <w:p>
            <w:pPr>
              <w:pStyle w:val="Compact"/>
              <w:jc w:val="left"/>
            </w:pPr>
            <w:r>
              <w:t xml:space="preserve">(14.29–34.17)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30.8</w:t>
            </w:r>
          </w:p>
        </w:tc>
        <w:tc>
          <w:p>
            <w:pPr>
              <w:pStyle w:val="Compact"/>
              <w:jc w:val="left"/>
            </w:pPr>
            <w:r>
              <w:t xml:space="preserve">(20.89–42.80)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31.3</w:t>
            </w:r>
          </w:p>
        </w:tc>
        <w:tc>
          <w:p>
            <w:pPr>
              <w:pStyle w:val="Compact"/>
              <w:jc w:val="left"/>
            </w:pPr>
            <w:r>
              <w:t xml:space="preserve">(21.51–43.20)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p>
            <w:pPr>
              <w:pStyle w:val="Compact"/>
              <w:jc w:val="right"/>
            </w:pPr>
            <w:r>
              <w:t xml:space="preserve">28.3</w:t>
            </w:r>
          </w:p>
        </w:tc>
        <w:tc>
          <w:p>
            <w:pPr>
              <w:pStyle w:val="Compact"/>
              <w:jc w:val="left"/>
            </w:pPr>
            <w:r>
              <w:t xml:space="preserve">(22.47–34.92)</w:t>
            </w:r>
          </w:p>
        </w:tc>
      </w:tr>
    </w:tbl>
    <w:p>
      <w:pPr>
        <w:pStyle w:val="BodyText"/>
      </w:pPr>
      <w:r>
        <w:t xml:space="preserve">CFR by age group among inpatients with known outcomes</w:t>
      </w:r>
      <w:r>
        <w:t xml:space="preserve"> 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Cases</w:t>
            </w:r>
          </w:p>
        </w:tc>
        <w:tc>
          <w:p>
            <w:pPr>
              <w:pStyle w:val="Compact"/>
              <w:jc w:val="right"/>
            </w:pPr>
            <w:r>
              <w:t xml:space="preserve">CFR (%)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left"/>
            </w:pPr>
            <w:r>
              <w:t xml:space="preserve">(20.65–100.00)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46.2</w:t>
            </w:r>
          </w:p>
        </w:tc>
        <w:tc>
          <w:p>
            <w:pPr>
              <w:pStyle w:val="Compact"/>
              <w:jc w:val="left"/>
            </w:pPr>
            <w:r>
              <w:t xml:space="preserve">(28.76–64.54)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  <w:tc>
          <w:p>
            <w:pPr>
              <w:pStyle w:val="Compact"/>
              <w:jc w:val="left"/>
            </w:pPr>
            <w:r>
              <w:t xml:space="preserve">(16.83–46.17)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p>
            <w:pPr>
              <w:pStyle w:val="Compact"/>
              <w:jc w:val="left"/>
            </w:pPr>
            <w:r>
              <w:t xml:space="preserve">(5.52–37.57)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25.4</w:t>
            </w:r>
          </w:p>
        </w:tc>
        <w:tc>
          <w:p>
            <w:pPr>
              <w:pStyle w:val="Compact"/>
              <w:jc w:val="left"/>
            </w:pPr>
            <w:r>
              <w:t xml:space="preserve">(18.43–33.97)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p>
            <w:pPr>
              <w:pStyle w:val="Compact"/>
              <w:jc w:val="right"/>
            </w:pPr>
            <w:r>
              <w:t xml:space="preserve">28.3</w:t>
            </w:r>
          </w:p>
        </w:tc>
        <w:tc>
          <w:p>
            <w:pPr>
              <w:pStyle w:val="Compact"/>
              <w:jc w:val="left"/>
            </w:pPr>
            <w:r>
              <w:t xml:space="preserve">(22.47–34.92)</w:t>
            </w:r>
          </w:p>
        </w:tc>
      </w:tr>
    </w:tbl>
    <w:bookmarkEnd w:id="24"/>
    <w:bookmarkStart w:id="25" w:name="attack-rate"/>
    <w:p>
      <w:pPr>
        <w:pStyle w:val="Heading4"/>
      </w:pPr>
      <w:r>
        <w:t xml:space="preserve">Attack rate</w:t>
      </w:r>
    </w:p>
    <w:p>
      <w:pPr>
        <w:pStyle w:val="FirstParagraph"/>
      </w:pPr>
      <w:r>
        <w:t xml:space="preserve">The attack rate per 10,000 population is below (based on available population data available for the catchment area/region of interest).</w:t>
      </w:r>
    </w:p>
    <w:p>
      <w:pPr>
        <w:pStyle w:val="BodyText"/>
      </w:pPr>
      <w:r>
        <w:t xml:space="preserve">Below gives the attack rate per 10,000 population (N = 4,999.5)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600.1</w:t>
            </w:r>
          </w:p>
        </w:tc>
        <w:tc>
          <w:p>
            <w:pPr>
              <w:pStyle w:val="Compact"/>
              <w:jc w:val="right"/>
            </w:pPr>
            <w:r>
              <w:t xml:space="preserve">(537.54–669.33)</w:t>
            </w:r>
          </w:p>
        </w:tc>
      </w:tr>
    </w:tbl>
    <w:p>
      <w:pPr>
        <w:pStyle w:val="BodyText"/>
      </w:pPr>
      <w:r>
        <w:t xml:space="preserve">Here, we can see that the attack rate for a population of 4,999.5 was 600.06 (CI 537.54–669.33).</w:t>
      </w:r>
    </w:p>
    <w:p>
      <w:pPr>
        <w:pStyle w:val="BodyText"/>
      </w:pPr>
      <w:r>
        <w:t xml:space="preserve">To give attack rate by age group, with appropriate population denominators, use the following code.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 group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0-2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340.0</w:t>
            </w:r>
          </w:p>
        </w:tc>
        <w:tc>
          <w:p>
            <w:pPr>
              <w:pStyle w:val="Compact"/>
              <w:jc w:val="right"/>
            </w:pPr>
            <w:r>
              <w:t xml:space="preserve">117.6</w:t>
            </w:r>
          </w:p>
        </w:tc>
        <w:tc>
          <w:p>
            <w:pPr>
              <w:pStyle w:val="Compact"/>
              <w:jc w:val="left"/>
            </w:pPr>
            <w:r>
              <w:t xml:space="preserve">(45.84–298.54)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3-14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1,811.0</w:t>
            </w:r>
          </w:p>
        </w:tc>
        <w:tc>
          <w:p>
            <w:pPr>
              <w:pStyle w:val="Compact"/>
              <w:jc w:val="right"/>
            </w:pPr>
            <w:r>
              <w:t xml:space="preserve">198.8</w:t>
            </w:r>
          </w:p>
        </w:tc>
        <w:tc>
          <w:p>
            <w:pPr>
              <w:pStyle w:val="Compact"/>
              <w:jc w:val="left"/>
            </w:pPr>
            <w:r>
              <w:t xml:space="preserve">(143.93–273.97)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15-29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1,380.0</w:t>
            </w:r>
          </w:p>
        </w:tc>
        <w:tc>
          <w:p>
            <w:pPr>
              <w:pStyle w:val="Compact"/>
              <w:jc w:val="right"/>
            </w:pPr>
            <w:r>
              <w:t xml:space="preserve">355.1</w:t>
            </w:r>
          </w:p>
        </w:tc>
        <w:tc>
          <w:p>
            <w:pPr>
              <w:pStyle w:val="Compact"/>
              <w:jc w:val="left"/>
            </w:pPr>
            <w:r>
              <w:t xml:space="preserve">(269.62–466.32)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30-44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808.0</w:t>
            </w:r>
          </w:p>
        </w:tc>
        <w:tc>
          <w:p>
            <w:pPr>
              <w:pStyle w:val="Compact"/>
              <w:jc w:val="right"/>
            </w:pPr>
            <w:r>
              <w:t xml:space="preserve">358.9</w:t>
            </w:r>
          </w:p>
        </w:tc>
        <w:tc>
          <w:p>
            <w:pPr>
              <w:pStyle w:val="Compact"/>
              <w:jc w:val="left"/>
            </w:pPr>
            <w:r>
              <w:t xml:space="preserve">(251.04–510.70)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45+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p>
            <w:pPr>
              <w:pStyle w:val="Compact"/>
              <w:jc w:val="right"/>
            </w:pPr>
            <w:r>
              <w:t xml:space="preserve">660.5</w:t>
            </w:r>
          </w:p>
        </w:tc>
        <w:tc>
          <w:p>
            <w:pPr>
              <w:pStyle w:val="Compact"/>
              <w:jc w:val="right"/>
            </w:pPr>
            <w:r>
              <w:t xml:space="preserve">2,755.5</w:t>
            </w:r>
          </w:p>
        </w:tc>
        <w:tc>
          <w:p>
            <w:pPr>
              <w:pStyle w:val="Compact"/>
              <w:jc w:val="left"/>
            </w:pPr>
            <w:r>
              <w:t xml:space="preserve">(2428.47–3108.46)</w:t>
            </w:r>
          </w:p>
        </w:tc>
      </w:tr>
    </w:tbl>
    <w:bookmarkEnd w:id="25"/>
    <w:bookmarkStart w:id="26" w:name="mortality-attributable-to-cholera"/>
    <w:p>
      <w:pPr>
        <w:pStyle w:val="Heading4"/>
      </w:pPr>
      <w:r>
        <w:t xml:space="preserve">Mortality attributable to cholera</w:t>
      </w:r>
    </w:p>
    <w:p>
      <w:pPr>
        <w:pStyle w:val="FirstParagraph"/>
      </w:pPr>
      <w:r>
        <w:t xml:space="preserve">Mortality rate attributable to cholera per 10,000 population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Mortality (per 10,000)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p>
            <w:pPr>
              <w:pStyle w:val="Compact"/>
              <w:jc w:val="left"/>
            </w:pPr>
            <w:r>
              <w:t xml:space="preserve">(141.30–214.14)</w:t>
            </w:r>
          </w:p>
        </w:tc>
      </w:tr>
    </w:tbl>
    <w:p>
      <w:pPr>
        <w:pStyle w:val="BodyText"/>
      </w:pPr>
      <w:r>
        <w:t xml:space="preserve">Crude mortality rate attributable to cholera per 10,000 population per day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Person-days</w:t>
            </w:r>
          </w:p>
        </w:tc>
        <w:tc>
          <w:p>
            <w:pPr>
              <w:pStyle w:val="Compact"/>
              <w:jc w:val="right"/>
            </w:pPr>
            <w:r>
              <w:t xml:space="preserve">Mortality (per 10,000/day)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2689731</w:t>
            </w:r>
          </w:p>
        </w:tc>
        <w:tc>
          <w:p>
            <w:pPr>
              <w:pStyle w:val="Compact"/>
              <w:jc w:val="right"/>
            </w:pPr>
            <w:r>
              <w:t xml:space="preserve">0.3</w:t>
            </w:r>
          </w:p>
        </w:tc>
        <w:tc>
          <w:p>
            <w:pPr>
              <w:pStyle w:val="Compact"/>
              <w:jc w:val="left"/>
            </w:pPr>
            <w:r>
              <w:t xml:space="preserve">(0.26–0.40)</w:t>
            </w:r>
          </w:p>
        </w:tc>
      </w:tr>
    </w:tbl>
    <w:p>
      <w:pPr>
        <w:pStyle w:val="BodyText"/>
      </w:pPr>
      <w:r>
        <w:t xml:space="preserve">Mortality rate attributable to cholera per 10,000 patients per day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Mortality (per 10,000/day)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9195</w:t>
            </w:r>
          </w:p>
        </w:tc>
        <w:tc>
          <w:p>
            <w:pPr>
              <w:pStyle w:val="Compact"/>
              <w:jc w:val="right"/>
            </w:pPr>
            <w:r>
              <w:t xml:space="preserve">94.6</w:t>
            </w:r>
          </w:p>
        </w:tc>
        <w:tc>
          <w:p>
            <w:pPr>
              <w:pStyle w:val="Compact"/>
              <w:jc w:val="left"/>
            </w:pPr>
            <w:r>
              <w:t xml:space="preserve">(76.78–116.55)</w:t>
            </w:r>
          </w:p>
        </w:tc>
      </w:tr>
    </w:tbl>
    <w:bookmarkEnd w:id="26"/>
    <w:bookmarkEnd w:id="27"/>
    <w:bookmarkStart w:id="34" w:name="time"/>
    <w:p>
      <w:pPr>
        <w:pStyle w:val="Heading3"/>
      </w:pPr>
      <w:r>
        <w:t xml:space="preserve">Time</w:t>
      </w:r>
    </w:p>
    <w:p>
      <w:pPr>
        <w:pStyle w:val="FirstParagraph"/>
      </w:pPr>
      <w:r>
        <w:t xml:space="preserve">There were 0 (0.0%) cases missing dates of onset.</w:t>
      </w:r>
    </w:p>
    <w:p>
      <w:pPr>
        <w:pStyle w:val="SourceCode"/>
      </w:pPr>
      <w:r>
        <w:rPr>
          <w:rStyle w:val="VerbatimChar"/>
        </w:rPr>
        <w:t xml:space="preserve">## Warning: It is deprecated to specify `guide = FALSE` to remove a guide. Please</w:t>
      </w:r>
      <w:r>
        <w:br/>
      </w:r>
      <w:r>
        <w:rPr>
          <w:rStyle w:val="VerbatimChar"/>
        </w:rPr>
        <w:t xml:space="preserve">## use `guide = "none"`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epicurv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peak of the outbreak was in 2018-W15.</w:t>
      </w:r>
    </w:p>
    <w:p>
      <w:pPr>
        <w:pStyle w:val="SourceCode"/>
      </w:pPr>
      <w:r>
        <w:rPr>
          <w:rStyle w:val="VerbatimChar"/>
        </w:rPr>
        <w:t xml:space="preserve">## Warning: It is deprecated to specify `guide = FALSE` to remove a guide. Please</w:t>
      </w:r>
      <w:r>
        <w:br/>
      </w:r>
      <w:r>
        <w:rPr>
          <w:rStyle w:val="VerbatimChar"/>
        </w:rPr>
        <w:t xml:space="preserve">## use `guide = "none"`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biweekly_epicurv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incidence_by_gend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incidence_by_case_de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Cases by week of onset among inpatients by sex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incidence_by_sex_faci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Attack rate per 10,000 population by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Epiweek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(1.10–14.58)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(0.35–11.32)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(1.10–14.58)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(1.10–14.58)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(6.78–28.88)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(10.87–36.78)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(5.50–26.16)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(16.69–46.95)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(15.20–44.44)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(24.34–59.28)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(19.71–51.93)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(19.71–51.93)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(27.49–64.13)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(38.78–80.83)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(52.06–99.52)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(33.89–73.72)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(52.06–99.52)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(21.24–54.39)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(12.29–39.36)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(22.79–56.84)</w:t>
            </w:r>
          </w:p>
        </w:tc>
      </w:tr>
    </w:tbl>
    <w:p>
      <w:pPr>
        <w:pStyle w:val="BodyText"/>
      </w:pPr>
      <w:r>
        <w:t xml:space="preserve">Cumulative attack rate per 10,000 population per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Epiweek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(1.10–14.58)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6.0</w:t>
            </w:r>
          </w:p>
        </w:tc>
        <w:tc>
          <w:p>
            <w:pPr>
              <w:pStyle w:val="Compact"/>
              <w:jc w:val="right"/>
            </w:pPr>
            <w:r>
              <w:t xml:space="preserve">(2.04–17.63)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10.0</w:t>
            </w:r>
          </w:p>
        </w:tc>
        <w:tc>
          <w:p>
            <w:pPr>
              <w:pStyle w:val="Compact"/>
              <w:jc w:val="right"/>
            </w:pPr>
            <w:r>
              <w:t xml:space="preserve">(4.27–23.39)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14.0</w:t>
            </w:r>
          </w:p>
        </w:tc>
        <w:tc>
          <w:p>
            <w:pPr>
              <w:pStyle w:val="Compact"/>
              <w:jc w:val="right"/>
            </w:pPr>
            <w:r>
              <w:t xml:space="preserve">(6.78–28.88)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28.0</w:t>
            </w:r>
          </w:p>
        </w:tc>
        <w:tc>
          <w:p>
            <w:pPr>
              <w:pStyle w:val="Compact"/>
              <w:jc w:val="right"/>
            </w:pPr>
            <w:r>
              <w:t xml:space="preserve">(16.69–46.95)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48.0</w:t>
            </w:r>
          </w:p>
        </w:tc>
        <w:tc>
          <w:p>
            <w:pPr>
              <w:pStyle w:val="Compact"/>
              <w:jc w:val="right"/>
            </w:pPr>
            <w:r>
              <w:t xml:space="preserve">(32.28–71.33)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60.0</w:t>
            </w:r>
          </w:p>
        </w:tc>
        <w:tc>
          <w:p>
            <w:pPr>
              <w:pStyle w:val="Compact"/>
              <w:jc w:val="right"/>
            </w:pPr>
            <w:r>
              <w:t xml:space="preserve">(42.07–85.53)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88.0</w:t>
            </w:r>
          </w:p>
        </w:tc>
        <w:tc>
          <w:p>
            <w:pPr>
              <w:pStyle w:val="Compact"/>
              <w:jc w:val="right"/>
            </w:pPr>
            <w:r>
              <w:t xml:space="preserve">(65.63–117.93)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114.0</w:t>
            </w:r>
          </w:p>
        </w:tc>
        <w:tc>
          <w:p>
            <w:pPr>
              <w:pStyle w:val="Compact"/>
              <w:jc w:val="right"/>
            </w:pPr>
            <w:r>
              <w:t xml:space="preserve">(88.11–147.42)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152.0</w:t>
            </w:r>
          </w:p>
        </w:tc>
        <w:tc>
          <w:p>
            <w:pPr>
              <w:pStyle w:val="Compact"/>
              <w:jc w:val="right"/>
            </w:pPr>
            <w:r>
              <w:t xml:space="preserve">(121.63–189.84)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184.0</w:t>
            </w:r>
          </w:p>
        </w:tc>
        <w:tc>
          <w:p>
            <w:pPr>
              <w:pStyle w:val="Compact"/>
              <w:jc w:val="right"/>
            </w:pPr>
            <w:r>
              <w:t xml:space="preserve">(150.29–225.14)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216.0</w:t>
            </w:r>
          </w:p>
        </w:tc>
        <w:tc>
          <w:p>
            <w:pPr>
              <w:pStyle w:val="Compact"/>
              <w:jc w:val="right"/>
            </w:pPr>
            <w:r>
              <w:t xml:space="preserve">(179.24–260.14)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258.0</w:t>
            </w:r>
          </w:p>
        </w:tc>
        <w:tc>
          <w:p>
            <w:pPr>
              <w:pStyle w:val="Compact"/>
              <w:jc w:val="right"/>
            </w:pPr>
            <w:r>
              <w:t xml:space="preserve">(217.58–305.75)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314.0</w:t>
            </w:r>
          </w:p>
        </w:tc>
        <w:tc>
          <w:p>
            <w:pPr>
              <w:pStyle w:val="Compact"/>
              <w:jc w:val="right"/>
            </w:pPr>
            <w:r>
              <w:t xml:space="preserve">(269.17–366.09)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386.0</w:t>
            </w:r>
          </w:p>
        </w:tc>
        <w:tc>
          <w:p>
            <w:pPr>
              <w:pStyle w:val="Compact"/>
              <w:jc w:val="right"/>
            </w:pPr>
            <w:r>
              <w:t xml:space="preserve">(336.08–443.08)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218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436.0</w:t>
            </w:r>
          </w:p>
        </w:tc>
        <w:tc>
          <w:p>
            <w:pPr>
              <w:pStyle w:val="Compact"/>
              <w:jc w:val="right"/>
            </w:pPr>
            <w:r>
              <w:t xml:space="preserve">(382.85–496.24)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254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508.1</w:t>
            </w:r>
          </w:p>
        </w:tc>
        <w:tc>
          <w:p>
            <w:pPr>
              <w:pStyle w:val="Compact"/>
              <w:jc w:val="right"/>
            </w:pPr>
            <w:r>
              <w:t xml:space="preserve">(450.55–572.45)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271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542.1</w:t>
            </w:r>
          </w:p>
        </w:tc>
        <w:tc>
          <w:p>
            <w:pPr>
              <w:pStyle w:val="Compact"/>
              <w:jc w:val="right"/>
            </w:pPr>
            <w:r>
              <w:t xml:space="preserve">(482.64–608.31)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564.1</w:t>
            </w:r>
          </w:p>
        </w:tc>
        <w:tc>
          <w:p>
            <w:pPr>
              <w:pStyle w:val="Compact"/>
              <w:jc w:val="right"/>
            </w:pPr>
            <w:r>
              <w:t xml:space="preserve">(503.45–631.48)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4999.5</w:t>
            </w:r>
          </w:p>
        </w:tc>
        <w:tc>
          <w:p>
            <w:pPr>
              <w:pStyle w:val="Compact"/>
              <w:jc w:val="right"/>
            </w:pPr>
            <w:r>
              <w:t xml:space="preserve">600.1</w:t>
            </w:r>
          </w:p>
        </w:tc>
        <w:tc>
          <w:p>
            <w:pPr>
              <w:pStyle w:val="Compact"/>
              <w:jc w:val="right"/>
            </w:pPr>
            <w:r>
              <w:t xml:space="preserve">(537.54–669.33)</w:t>
            </w:r>
          </w:p>
        </w:tc>
      </w:tr>
    </w:tbl>
    <w:p>
      <w:pPr>
        <w:pStyle w:val="BodyText"/>
      </w:pPr>
      <w:r>
        <w:t xml:space="preserve">Case fatality ratio as a proportion among inpatients by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Epiweek</w:t>
            </w:r>
          </w:p>
        </w:tc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Cases</w:t>
            </w:r>
          </w:p>
        </w:tc>
        <w:tc>
          <w:p>
            <w:pPr>
              <w:pStyle w:val="Compact"/>
              <w:jc w:val="right"/>
            </w:pPr>
            <w:r>
              <w:t xml:space="preserve">CFR (%)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(0.00–65.76)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(0.00–79.35)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p>
            <w:pPr>
              <w:pStyle w:val="Compact"/>
              <w:jc w:val="right"/>
            </w:pPr>
            <w:r>
              <w:t xml:space="preserve">(9.45–90.55)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(0.00–79.35)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(0.00–56.15)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16.7</w:t>
            </w:r>
          </w:p>
        </w:tc>
        <w:tc>
          <w:p>
            <w:pPr>
              <w:pStyle w:val="Compact"/>
              <w:jc w:val="right"/>
            </w:pPr>
            <w:r>
              <w:t xml:space="preserve">(3.01–56.35)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p>
            <w:pPr>
              <w:pStyle w:val="Compact"/>
              <w:jc w:val="right"/>
            </w:pPr>
            <w:r>
              <w:t xml:space="preserve">(15.00–85.00)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(7.15–59.07)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50.0</w:t>
            </w:r>
          </w:p>
        </w:tc>
        <w:tc>
          <w:p>
            <w:pPr>
              <w:pStyle w:val="Compact"/>
              <w:jc w:val="right"/>
            </w:pPr>
            <w:r>
              <w:t xml:space="preserve">(21.52–78.48)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41.7</w:t>
            </w:r>
          </w:p>
        </w:tc>
        <w:tc>
          <w:p>
            <w:pPr>
              <w:pStyle w:val="Compact"/>
              <w:jc w:val="right"/>
            </w:pPr>
            <w:r>
              <w:t xml:space="preserve">(19.33–68.05)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40.0</w:t>
            </w:r>
          </w:p>
        </w:tc>
        <w:tc>
          <w:p>
            <w:pPr>
              <w:pStyle w:val="Compact"/>
              <w:jc w:val="right"/>
            </w:pPr>
            <w:r>
              <w:t xml:space="preserve">(16.82–68.73)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(7.15–59.07)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  <w:tc>
          <w:p>
            <w:pPr>
              <w:pStyle w:val="Compact"/>
              <w:jc w:val="right"/>
            </w:pPr>
            <w:r>
              <w:t xml:space="preserve">(13.28–53.13)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22.7</w:t>
            </w:r>
          </w:p>
        </w:tc>
        <w:tc>
          <w:p>
            <w:pPr>
              <w:pStyle w:val="Compact"/>
              <w:jc w:val="right"/>
            </w:pPr>
            <w:r>
              <w:t xml:space="preserve">(10.12–43.44)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  <w:tc>
          <w:p>
            <w:pPr>
              <w:pStyle w:val="Compact"/>
              <w:jc w:val="right"/>
            </w:pPr>
            <w:r>
              <w:t xml:space="preserve">(4.98–34.64)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33.3</w:t>
            </w:r>
          </w:p>
        </w:tc>
        <w:tc>
          <w:p>
            <w:pPr>
              <w:pStyle w:val="Compact"/>
              <w:jc w:val="right"/>
            </w:pPr>
            <w:r>
              <w:t xml:space="preserve">(15.18–58.29)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(12.00–44.90)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30.8</w:t>
            </w:r>
          </w:p>
        </w:tc>
        <w:tc>
          <w:p>
            <w:pPr>
              <w:pStyle w:val="Compact"/>
              <w:jc w:val="right"/>
            </w:pPr>
            <w:r>
              <w:t xml:space="preserve">(12.68–57.63)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33.3</w:t>
            </w:r>
          </w:p>
        </w:tc>
        <w:tc>
          <w:p>
            <w:pPr>
              <w:pStyle w:val="Compact"/>
              <w:jc w:val="right"/>
            </w:pPr>
            <w:r>
              <w:t xml:space="preserve">(12.06–64.58)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33.3</w:t>
            </w:r>
          </w:p>
        </w:tc>
        <w:tc>
          <w:p>
            <w:pPr>
              <w:pStyle w:val="Compact"/>
              <w:jc w:val="right"/>
            </w:pPr>
            <w:r>
              <w:t xml:space="preserve">(13.81–60.94)</w:t>
            </w:r>
          </w:p>
        </w:tc>
      </w:tr>
    </w:tbl>
    <w:p>
      <w:pPr>
        <w:pStyle w:val="BodyText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epicurve_ar_cf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Inpatient admissions by case definition and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right"/>
            </w:pPr>
            <w:r>
              <w:t xml:space="preserve">Confirmed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Probable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Suspected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3.1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9.3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10.7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11.5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12.5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8.6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15.4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15.6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9.4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13.6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12.5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11.5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6.2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198</w:t>
            </w:r>
          </w:p>
        </w:tc>
      </w:tr>
    </w:tbl>
    <w:p>
      <w:pPr>
        <w:pStyle w:val="BodyText"/>
      </w:pPr>
      <w:r>
        <w:t xml:space="preserve">Inpatient discharges by reason for exit and week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Week</w:t>
            </w:r>
          </w:p>
        </w:tc>
        <w:tc>
          <w:p>
            <w:pPr>
              <w:pStyle w:val="Compact"/>
              <w:jc w:val="right"/>
            </w:pPr>
            <w:r>
              <w:t xml:space="preserve">Died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Discharged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Left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Transferred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13.0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7.3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2018-W09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4.9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1.3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2018-W10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8.9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7.3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5.1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8.7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4.9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6.4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8.9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8.7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9.8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8.9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9.8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15.4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5.4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7.3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14.1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8.9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13.0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7.3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5.1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10.7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13.0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17.1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10.3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12.2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2018-W19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5.4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8.7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2018-W20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4.9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198</w:t>
            </w:r>
          </w:p>
        </w:tc>
      </w:tr>
    </w:tbl>
    <w:bookmarkEnd w:id="34"/>
    <w:bookmarkStart w:id="59" w:name="place"/>
    <w:p>
      <w:pPr>
        <w:pStyle w:val="Heading3"/>
      </w:pPr>
      <w:r>
        <w:t xml:space="preserve">Place</w:t>
      </w:r>
    </w:p>
    <w:bookmarkStart w:id="36" w:name="descriptive"/>
    <w:p>
      <w:pPr>
        <w:pStyle w:val="Heading4"/>
      </w:pPr>
      <w:r>
        <w:t xml:space="preserve">Descriptive</w:t>
      </w:r>
    </w:p>
    <w:p>
      <w:pPr>
        <w:pStyle w:val="FirstParagraph"/>
      </w:pPr>
      <w:r>
        <w:t xml:space="preserve">Cases by region and facility type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right"/>
            </w:pPr>
            <w:r>
              <w:t xml:space="preserve">Inpatient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Outpatient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A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28.3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36.3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B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17.6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C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27.3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28.4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D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17.6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198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</w:tr>
    </w:tbl>
    <w:p>
      <w:pPr>
        <w:pStyle w:val="BodyText"/>
      </w:pPr>
      <w:r>
        <w:t xml:space="preserve">Inpatient discharges by reason for exit and region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right"/>
            </w:pPr>
            <w:r>
              <w:t xml:space="preserve">Died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Discharged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Left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Transferred (n)</w:t>
            </w:r>
          </w:p>
        </w:tc>
        <w:tc>
          <w:p>
            <w:pPr>
              <w:pStyle w:val="Compact"/>
              <w:jc w:val="right"/>
            </w:pPr>
            <w:r>
              <w:t xml:space="preserve">%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A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28.6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47.8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17.1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28.2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B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30.4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36.6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20.5</w:t>
            </w:r>
          </w:p>
        </w:tc>
        <w:tc>
          <w:p>
            <w:pPr>
              <w:pStyle w:val="Compact"/>
              <w:jc w:val="right"/>
            </w:pPr>
            <w:r>
              <w:t xml:space="preserve">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C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35.7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13.0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26.8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25.6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D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8.7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19.5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25.6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100.0</w:t>
            </w:r>
          </w:p>
        </w:tc>
        <w:tc>
          <w:p>
            <w:pPr>
              <w:pStyle w:val="Compact"/>
              <w:jc w:val="right"/>
            </w:pPr>
            <w:r>
              <w:t xml:space="preserve">198</w:t>
            </w:r>
          </w:p>
        </w:tc>
      </w:tr>
    </w:tbl>
    <w:p>
      <w:pPr>
        <w:pStyle w:val="BodyText"/>
      </w:pPr>
      <w:r>
        <w:t xml:space="preserve">Attack rage per 10,000 population by region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Region</w:t>
            </w:r>
          </w:p>
        </w:tc>
        <w:tc>
          <w:p>
            <w:pPr>
              <w:pStyle w:val="Compact"/>
              <w:jc w:val="right"/>
            </w:pPr>
            <w:r>
              <w:t xml:space="preserve">Cases (n)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AR (per 10,000)</w:t>
            </w:r>
          </w:p>
        </w:tc>
        <w:tc>
          <w:p>
            <w:pPr>
              <w:pStyle w:val="Compact"/>
              <w:jc w:val="righ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Village A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1,105</w:t>
            </w:r>
          </w:p>
        </w:tc>
        <w:tc>
          <w:p>
            <w:pPr>
              <w:pStyle w:val="Compact"/>
              <w:jc w:val="right"/>
            </w:pPr>
            <w:r>
              <w:t xml:space="preserve">841.6</w:t>
            </w:r>
          </w:p>
        </w:tc>
        <w:tc>
          <w:p>
            <w:pPr>
              <w:pStyle w:val="Compact"/>
              <w:jc w:val="right"/>
            </w:pPr>
            <w:r>
              <w:t xml:space="preserve">(691.99–1020.08)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Village B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  <w:tc>
          <w:p>
            <w:pPr>
              <w:pStyle w:val="Compact"/>
              <w:jc w:val="right"/>
            </w:pPr>
            <w:r>
              <w:t xml:space="preserve">870</w:t>
            </w:r>
          </w:p>
        </w:tc>
        <w:tc>
          <w:p>
            <w:pPr>
              <w:pStyle w:val="Compact"/>
              <w:jc w:val="right"/>
            </w:pPr>
            <w:r>
              <w:t xml:space="preserve">758.6</w:t>
            </w:r>
          </w:p>
        </w:tc>
        <w:tc>
          <w:p>
            <w:pPr>
              <w:pStyle w:val="Compact"/>
              <w:jc w:val="right"/>
            </w:pPr>
            <w:r>
              <w:t xml:space="preserve">(600.72–953.81)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Village C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  <w:tc>
          <w:p>
            <w:pPr>
              <w:pStyle w:val="Compact"/>
              <w:jc w:val="right"/>
            </w:pPr>
            <w:r>
              <w:t xml:space="preserve">1,775</w:t>
            </w:r>
          </w:p>
        </w:tc>
        <w:tc>
          <w:p>
            <w:pPr>
              <w:pStyle w:val="Compact"/>
              <w:jc w:val="right"/>
            </w:pPr>
            <w:r>
              <w:t xml:space="preserve">467.6</w:t>
            </w:r>
          </w:p>
        </w:tc>
        <w:tc>
          <w:p>
            <w:pPr>
              <w:pStyle w:val="Compact"/>
              <w:jc w:val="right"/>
            </w:pPr>
            <w:r>
              <w:t xml:space="preserve">(378.79–575.99)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Village D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1,225</w:t>
            </w:r>
          </w:p>
        </w:tc>
        <w:tc>
          <w:p>
            <w:pPr>
              <w:pStyle w:val="Compact"/>
              <w:jc w:val="right"/>
            </w:pPr>
            <w:r>
              <w:t xml:space="preserve">473.5</w:t>
            </w:r>
          </w:p>
        </w:tc>
        <w:tc>
          <w:p>
            <w:pPr>
              <w:pStyle w:val="Compact"/>
              <w:jc w:val="right"/>
            </w:pPr>
            <w:r>
              <w:t xml:space="preserve">(368.04–607.20)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bar_attack_rate_by_reg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Mortality rate per 10,000 population by region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right"/>
            </w:pPr>
            <w:r>
              <w:t xml:space="preserve">Deaths</w:t>
            </w:r>
          </w:p>
        </w:tc>
        <w:tc>
          <w:p>
            <w:pPr>
              <w:pStyle w:val="Compact"/>
              <w:jc w:val="right"/>
            </w:pPr>
            <w:r>
              <w:t xml:space="preserve">Population</w:t>
            </w:r>
          </w:p>
        </w:tc>
        <w:tc>
          <w:p>
            <w:pPr>
              <w:pStyle w:val="Compact"/>
              <w:jc w:val="right"/>
            </w:pPr>
            <w:r>
              <w:t xml:space="preserve">Mortality (per 10,000)</w:t>
            </w:r>
          </w:p>
        </w:tc>
        <w:tc>
          <w:p>
            <w:pPr>
              <w:pStyle w:val="Compact"/>
              <w:jc w:val="left"/>
            </w:pPr>
            <w:r>
              <w:t xml:space="preserve">95%CI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A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1105</w:t>
            </w:r>
          </w:p>
        </w:tc>
        <w:tc>
          <w:p>
            <w:pPr>
              <w:pStyle w:val="Compact"/>
              <w:jc w:val="right"/>
            </w:pPr>
            <w:r>
              <w:t xml:space="preserve">235.3</w:t>
            </w:r>
          </w:p>
        </w:tc>
        <w:tc>
          <w:p>
            <w:pPr>
              <w:pStyle w:val="Compact"/>
              <w:jc w:val="left"/>
            </w:pPr>
            <w:r>
              <w:t xml:space="preserve">(161.07–342.53)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B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870</w:t>
            </w:r>
          </w:p>
        </w:tc>
        <w:tc>
          <w:p>
            <w:pPr>
              <w:pStyle w:val="Compact"/>
              <w:jc w:val="right"/>
            </w:pPr>
            <w:r>
              <w:t xml:space="preserve">206.9</w:t>
            </w:r>
          </w:p>
        </w:tc>
        <w:tc>
          <w:p>
            <w:pPr>
              <w:pStyle w:val="Compact"/>
              <w:jc w:val="left"/>
            </w:pPr>
            <w:r>
              <w:t xml:space="preserve">(131.27–324.67)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C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1775</w:t>
            </w:r>
          </w:p>
        </w:tc>
        <w:tc>
          <w:p>
            <w:pPr>
              <w:pStyle w:val="Compact"/>
              <w:jc w:val="right"/>
            </w:pPr>
            <w:r>
              <w:t xml:space="preserve">163.4</w:t>
            </w:r>
          </w:p>
        </w:tc>
        <w:tc>
          <w:p>
            <w:pPr>
              <w:pStyle w:val="Compact"/>
              <w:jc w:val="left"/>
            </w:pPr>
            <w:r>
              <w:t xml:space="preserve">(113.99–233.66)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Village D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1225</w:t>
            </w:r>
          </w:p>
        </w:tc>
        <w:tc>
          <w:p>
            <w:pPr>
              <w:pStyle w:val="Compact"/>
              <w:jc w:val="right"/>
            </w:pPr>
            <w:r>
              <w:t xml:space="preserve">114.3</w:t>
            </w:r>
          </w:p>
        </w:tc>
        <w:tc>
          <w:p>
            <w:pPr>
              <w:pStyle w:val="Compact"/>
              <w:jc w:val="left"/>
            </w:pPr>
            <w:r>
              <w:t xml:space="preserve">(68.20–190.92)</w:t>
            </w:r>
          </w:p>
        </w:tc>
      </w:tr>
    </w:tbl>
    <w:bookmarkEnd w:id="36"/>
    <w:bookmarkStart w:id="58" w:name="maps"/>
    <w:p>
      <w:pPr>
        <w:pStyle w:val="Heading4"/>
      </w:pPr>
      <w:r>
        <w:t xml:space="preserve">Maps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choropleth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olera_outbreak_report_template_files/figure-docx/map_for_loop_epiweek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End w:id="59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39" Target="media/rId39.png" /><Relationship Type="http://schemas.openxmlformats.org/officeDocument/2006/relationships/image" Id="rId57" Target="media/rId57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hyperlink" Id="rId21" Target="https://github.com/R4EPI/sitrep/issues" TargetMode="External" /><Relationship Type="http://schemas.openxmlformats.org/officeDocument/2006/relationships/hyperlink" Id="rId20" Target="https://r4epis.netlify.com/outbreak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https://github.com/R4EPI/sitrep/issues" TargetMode="External" /><Relationship Type="http://schemas.openxmlformats.org/officeDocument/2006/relationships/hyperlink" Id="rId20" Target="https://r4epis.netlify.com/outbreak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Cholera outbreak report</dc:title>
  <dc:creator/>
  <cp:keywords/>
  <dcterms:created xsi:type="dcterms:W3CDTF">2022-05-28T17:24:54Z</dcterms:created>
  <dcterms:modified xsi:type="dcterms:W3CDTF">2022-05-28T17:24:54Z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