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5.png" ContentType="image/png"/>
  <Override PartName="/word/media/rId29.png" ContentType="image/png"/>
  <Override PartName="/word/media/rId37.png" ContentType="image/png"/>
  <Override PartName="/word/media/rId28.png" ContentType="image/png"/>
  <Override PartName="/word/media/rId33.png" ContentType="image/png"/>
  <Override PartName="/word/media/rId31.png" ContentType="image/png"/>
  <Override PartName="/word/media/rId30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Cholera</w:t>
      </w:r>
      <w:r>
        <w:t xml:space="preserve"> </w:t>
      </w:r>
      <w:r>
        <w:t xml:space="preserve">outbreak</w:t>
      </w:r>
      <w:r>
        <w:t xml:space="preserve"> </w:t>
      </w:r>
      <w:r>
        <w:t xml:space="preserve">report</w:t>
      </w:r>
    </w:p>
    <w:bookmarkStart w:id="59" w:name="introduction-to-this-template"/>
    <w:p>
      <w:pPr>
        <w:pStyle w:val="Heading1"/>
      </w:pPr>
      <w:r>
        <w:t xml:space="preserve">Introduction to this template</w:t>
      </w:r>
    </w:p>
    <w:p>
      <w:pPr>
        <w:pStyle w:val="FirstParagraph"/>
      </w:pPr>
      <w:r>
        <w:t xml:space="preserve">This is a template which can be used to create an automated outbreak situation</w:t>
      </w:r>
      <w:r>
        <w:t xml:space="preserve"> </w:t>
      </w:r>
      <w:r>
        <w:t xml:space="preserve">report for cholera.</w:t>
      </w:r>
    </w:p>
    <w:p>
      <w:pPr>
        <w:numPr>
          <w:ilvl w:val="0"/>
          <w:numId w:val="1001"/>
        </w:numPr>
        <w:pStyle w:val="Compact"/>
      </w:pPr>
      <w:r>
        <w:t xml:space="preserve">It is organised by time, place and person.</w:t>
      </w:r>
      <w:r>
        <w:t xml:space="preserve"> </w:t>
      </w:r>
      <w:r>
        <w:t xml:space="preserve">For a more detailed explanation of this template, please visit</w:t>
      </w:r>
      <w:r>
        <w:t xml:space="preserve"> </w:t>
      </w:r>
      <w:hyperlink r:id="rId20">
        <w:r>
          <w:rPr>
            <w:rStyle w:val="Hyperlink"/>
          </w:rPr>
          <w:t xml:space="preserve">https://r4epis.netlify.com/outbreaks</w:t>
        </w:r>
      </w:hyperlink>
    </w:p>
    <w:p>
      <w:pPr>
        <w:numPr>
          <w:ilvl w:val="0"/>
          <w:numId w:val="1001"/>
        </w:numPr>
        <w:pStyle w:val="Compact"/>
      </w:pPr>
      <w:r>
        <w:t xml:space="preserve">Feedback and suggestions are welcome at the</w:t>
      </w:r>
      <w:r>
        <w:t xml:space="preserve"> </w:t>
      </w:r>
      <w:hyperlink r:id="rId21">
        <w:r>
          <w:rPr>
            <w:rStyle w:val="Hyperlink"/>
          </w:rPr>
          <w:t xml:space="preserve">GitHub issues page</w:t>
        </w:r>
      </w:hyperlink>
    </w:p>
    <w:p>
      <w:pPr>
        <w:numPr>
          <w:ilvl w:val="0"/>
          <w:numId w:val="1001"/>
        </w:numPr>
        <w:pStyle w:val="Compact"/>
      </w:pPr>
      <w:r>
        <w:t xml:space="preserve">Text within &lt;! &gt; will not show in your final document. These comments are used</w:t>
      </w:r>
      <w:r>
        <w:t xml:space="preserve"> </w:t>
      </w:r>
      <w:r>
        <w:t xml:space="preserve">to explain the template. You can delete them if you want.</w:t>
      </w:r>
    </w:p>
    <w:bookmarkStart w:id="58" w:name="installing-and-loading-required-packages"/>
    <w:p>
      <w:pPr>
        <w:pStyle w:val="Heading2"/>
      </w:pPr>
      <w:r>
        <w:t xml:space="preserve">Installing and loading required packages</w:t>
      </w:r>
    </w:p>
    <w:bookmarkStart w:id="27" w:name="person"/>
    <w:p>
      <w:pPr>
        <w:pStyle w:val="Heading3"/>
      </w:pPr>
      <w:r>
        <w:t xml:space="preserve">Person</w:t>
      </w:r>
    </w:p>
    <w:p>
      <w:pPr>
        <w:pStyle w:val="FirstParagraph"/>
      </w:pPr>
      <w:r>
        <w:t xml:space="preserve">From the start of the outbreak up until 2019-W25 there were a</w:t>
      </w:r>
      <w:r>
        <w:t xml:space="preserve"> </w:t>
      </w:r>
      <w:r>
        <w:t xml:space="preserve">total of 300 cases. There were</w:t>
      </w:r>
      <w:r>
        <w:t xml:space="preserve"> </w:t>
      </w:r>
      <w:r>
        <w:t xml:space="preserve">90 (30.0%) females and</w:t>
      </w:r>
      <w:r>
        <w:t xml:space="preserve"> </w:t>
      </w:r>
      <w:r>
        <w:t xml:space="preserve">115 (38.3%) males.</w:t>
      </w:r>
    </w:p>
    <w:p>
      <w:pPr>
        <w:pStyle w:val="BodyText"/>
      </w:pPr>
      <w:r>
        <w:t xml:space="preserve">The most affected age group was 45+ years.</w:t>
      </w:r>
    </w:p>
    <w:bookmarkStart w:id="23" w:name="demographics"/>
    <w:p>
      <w:pPr>
        <w:pStyle w:val="Heading4"/>
      </w:pPr>
      <w:r>
        <w:t xml:space="preserve">Demographics</w:t>
      </w:r>
    </w:p>
    <w:p>
      <w:pPr>
        <w:pStyle w:val="FirstParagraph"/>
      </w:pPr>
      <w:r>
        <w:t xml:space="preserve">Cases by age group and definition</w:t>
      </w:r>
      <w:r>
        <w:t xml:space="preserve"> 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851"/>
        <w:gridCol w:w="1703"/>
        <w:gridCol w:w="510"/>
        <w:gridCol w:w="1618"/>
        <w:gridCol w:w="510"/>
        <w:gridCol w:w="1703"/>
        <w:gridCol w:w="510"/>
        <w:gridCol w:w="510"/>
      </w:tblGrid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Confirmed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2.2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5.4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14.0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10.8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59.2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54.3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67.6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There were 95 (31.7%) cases missing information on sex and 0 (0.0%) missing age group.</w:t>
      </w:r>
    </w:p>
    <w:p>
      <w:pPr>
        <w:pStyle w:val="BodyText"/>
      </w:pPr>
      <w:r>
        <w:t xml:space="preserve">Cases by age group and sex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Female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Missing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10.4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7.8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7.4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11.1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11.6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12.2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66.7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62.1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Cases by population proportion (age group and sex)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Female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Missing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19.7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p>
            <w:pPr>
              <w:pStyle w:val="Compact"/>
              <w:jc w:val="right"/>
            </w:pPr>
            <w:r>
              <w:t xml:space="preserve">38.3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31.7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Age pyramid</w:t>
      </w:r>
      <w:r>
        <w:t xml:space="preserve"> 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age_pyrami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Of the patients, 92 (30.7%) were seen as outpatients and 208 (69.3%) were inpatients. Among inpatients, the median number of days admitted was 20,</w:t>
      </w:r>
      <w:r>
        <w:t xml:space="preserve"> </w:t>
      </w:r>
      <w:r>
        <w:t xml:space="preserve">with a range between 1 and 113 days.</w:t>
      </w:r>
    </w:p>
    <w:p>
      <w:pPr>
        <w:pStyle w:val="BodyText"/>
      </w:pPr>
      <w:r>
        <w:t xml:space="preserve">From the start of the outbreak, 63 (21.0%) patients recevied treatment plan</w:t>
      </w:r>
      <w:r>
        <w:t xml:space="preserve"> </w:t>
      </w:r>
      <w:r>
        <w:t xml:space="preserve">A, 51 (17.0%)</w:t>
      </w:r>
      <w:r>
        <w:t xml:space="preserve"> </w:t>
      </w:r>
      <w:r>
        <w:t xml:space="preserve">received treatment plan B, and 50 (16.7%) received treatment plan C.</w:t>
      </w:r>
    </w:p>
    <w:p>
      <w:pPr>
        <w:pStyle w:val="BodyText"/>
      </w:pPr>
      <w:r>
        <w:t xml:space="preserve">Cases by treatment plan and case definition</w:t>
      </w:r>
      <w:r>
        <w:t xml:space="preserve"> 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99"/>
        <w:gridCol w:w="1523"/>
        <w:gridCol w:w="456"/>
        <w:gridCol w:w="1446"/>
        <w:gridCol w:w="456"/>
        <w:gridCol w:w="1523"/>
        <w:gridCol w:w="456"/>
        <w:gridCol w:w="456"/>
      </w:tblGrid>
      <w:tr>
        <w:tc>
          <w:p>
            <w:pPr>
              <w:pStyle w:val="Compact"/>
              <w:jc w:val="left"/>
            </w:pPr>
            <w:r>
              <w:t xml:space="preserve">Fluid treatment plan</w:t>
            </w:r>
          </w:p>
        </w:tc>
        <w:tc>
          <w:p>
            <w:pPr>
              <w:pStyle w:val="Compact"/>
              <w:jc w:val="right"/>
            </w:pPr>
            <w:r>
              <w:t xml:space="preserve">Confirmed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29.7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A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19.7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34.3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16.2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B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18.4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C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16.2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24.1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22.9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The median number of days admitted was 20,</w:t>
      </w:r>
      <w:r>
        <w:t xml:space="preserve"> </w:t>
      </w:r>
      <w:r>
        <w:t xml:space="preserve">with a range between 1 and 113 days.</w:t>
      </w:r>
      <w:r>
        <w:t xml:space="preserve"> </w:t>
      </w:r>
      <w:r>
        <w:t xml:space="preserve">A total of 102 (34.0%) patients were readmitted to the CTC.</w:t>
      </w:r>
    </w:p>
    <w:p>
      <w:pPr>
        <w:pStyle w:val="BodyText"/>
      </w:pPr>
      <w:r>
        <w:t xml:space="preserve">Cases by dehydration severity at admission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Dehydration severity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23.3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Some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27.3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dehydration severity during stay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Dehydration severity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24.7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Some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  <w:tc>
          <w:p>
            <w:pPr>
              <w:pStyle w:val="Compact"/>
              <w:jc w:val="right"/>
            </w:pPr>
            <w:r>
              <w:t xml:space="preserve">22.0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lab results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`all_of(LABS)` instead of `LABS`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Results</w:t>
            </w:r>
          </w:p>
        </w:tc>
        <w:tc>
          <w:p>
            <w:pPr>
              <w:pStyle w:val="Compact"/>
              <w:jc w:val="right"/>
            </w:pPr>
            <w:r>
              <w:t xml:space="preserve">Culture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PCR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RDT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 done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12.7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Negative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18.3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15.0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15.7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O139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14.0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19.7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 &amp; O139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19.7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Invalid/contaminated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16.3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vaccination status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Vaccination status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Yes - vaccination card/ink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20.7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Yes - verbal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Unsure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bookmarkEnd w:id="23"/>
    <w:bookmarkStart w:id="24" w:name="case-fatality-ratio"/>
    <w:p>
      <w:pPr>
        <w:pStyle w:val="Heading4"/>
      </w:pPr>
      <w:r>
        <w:t xml:space="preserve">Case fatality ratio</w:t>
      </w:r>
    </w:p>
    <w:p>
      <w:pPr>
        <w:pStyle w:val="FirstParagraph"/>
      </w:pPr>
      <w:r>
        <w:t xml:space="preserve">Of 208 (69.3%) inpatients, there have been 62 (20.7%) deaths, of which</w:t>
      </w:r>
      <w:r>
        <w:t xml:space="preserve"> </w:t>
      </w:r>
      <w:r>
        <w:t xml:space="preserve">42 (14.0%)</w:t>
      </w:r>
      <w:r>
        <w:t xml:space="preserve"> </w:t>
      </w:r>
      <w:r>
        <w:t xml:space="preserve">were dead on arrival.</w:t>
      </w:r>
    </w:p>
    <w:p>
      <w:pPr>
        <w:pStyle w:val="BodyText"/>
      </w:pPr>
      <w:r>
        <w:t xml:space="preserve">Among inpatients who died, the time to death is shown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Time (hours)</w:t>
            </w:r>
          </w:p>
        </w:tc>
        <w:tc>
          <w:p>
            <w:pPr>
              <w:pStyle w:val="Compact"/>
              <w:jc w:val="right"/>
            </w:pPr>
            <w:r>
              <w:t xml:space="preserve">Deaths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0-4 hours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&gt;4-24 hours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&gt;24-48 hours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27.4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&gt;48 hours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22.6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The case fatality ratio among inpatients with known outcomes is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29.8</w:t>
            </w:r>
          </w:p>
        </w:tc>
        <w:tc>
          <w:p>
            <w:pPr>
              <w:pStyle w:val="Compact"/>
              <w:jc w:val="left"/>
            </w:pPr>
            <w:r>
              <w:t xml:space="preserve">(24.00–36.34)</w:t>
            </w:r>
          </w:p>
        </w:tc>
      </w:tr>
    </w:tbl>
    <w:p>
      <w:pPr>
        <w:pStyle w:val="BodyText"/>
      </w:pPr>
      <w:r>
        <w:t xml:space="preserve">The case fatality ratio by sex among inpatients with known outcomes is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p>
            <w:pPr>
              <w:pStyle w:val="Compact"/>
              <w:jc w:val="left"/>
            </w:pPr>
            <w:r>
              <w:t xml:space="preserve">(20.79–39.82)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31.7</w:t>
            </w:r>
          </w:p>
        </w:tc>
        <w:tc>
          <w:p>
            <w:pPr>
              <w:pStyle w:val="Compact"/>
              <w:jc w:val="left"/>
            </w:pPr>
            <w:r>
              <w:t xml:space="preserve">(21.31–44.23)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28.6</w:t>
            </w:r>
          </w:p>
        </w:tc>
        <w:tc>
          <w:p>
            <w:pPr>
              <w:pStyle w:val="Compact"/>
              <w:jc w:val="left"/>
            </w:pPr>
            <w:r>
              <w:t xml:space="preserve">(18.90–40.70)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29.8</w:t>
            </w:r>
          </w:p>
        </w:tc>
        <w:tc>
          <w:p>
            <w:pPr>
              <w:pStyle w:val="Compact"/>
              <w:jc w:val="left"/>
            </w:pPr>
            <w:r>
              <w:t xml:space="preserve">(24.00–36.34)</w:t>
            </w:r>
          </w:p>
        </w:tc>
      </w:tr>
    </w:tbl>
    <w:p>
      <w:pPr>
        <w:pStyle w:val="BodyText"/>
      </w:pPr>
      <w:r>
        <w:t xml:space="preserve">CFR by age group among inpatients with known outcomes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left"/>
            </w:pPr>
            <w:r>
              <w:t xml:space="preserve">(3.62–62.45)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26.7</w:t>
            </w:r>
          </w:p>
        </w:tc>
        <w:tc>
          <w:p>
            <w:pPr>
              <w:pStyle w:val="Compact"/>
              <w:jc w:val="left"/>
            </w:pPr>
            <w:r>
              <w:t xml:space="preserve">(10.90–51.95)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34.3</w:t>
            </w:r>
          </w:p>
        </w:tc>
        <w:tc>
          <w:p>
            <w:pPr>
              <w:pStyle w:val="Compact"/>
              <w:jc w:val="left"/>
            </w:pPr>
            <w:r>
              <w:t xml:space="preserve">(20.83–50.85)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left"/>
            </w:pPr>
            <w:r>
              <w:t xml:space="preserve">(14.16–42.07)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30.5</w:t>
            </w:r>
          </w:p>
        </w:tc>
        <w:tc>
          <w:p>
            <w:pPr>
              <w:pStyle w:val="Compact"/>
              <w:jc w:val="left"/>
            </w:pPr>
            <w:r>
              <w:t xml:space="preserve">(22.92–39.32)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29.8</w:t>
            </w:r>
          </w:p>
        </w:tc>
        <w:tc>
          <w:p>
            <w:pPr>
              <w:pStyle w:val="Compact"/>
              <w:jc w:val="left"/>
            </w:pPr>
            <w:r>
              <w:t xml:space="preserve">(24.00–36.34)</w:t>
            </w:r>
          </w:p>
        </w:tc>
      </w:tr>
    </w:tbl>
    <w:bookmarkEnd w:id="24"/>
    <w:bookmarkStart w:id="25" w:name="attack-rate"/>
    <w:p>
      <w:pPr>
        <w:pStyle w:val="Heading4"/>
      </w:pPr>
      <w:r>
        <w:t xml:space="preserve">Attack rate</w:t>
      </w:r>
    </w:p>
    <w:p>
      <w:pPr>
        <w:pStyle w:val="FirstParagraph"/>
      </w:pPr>
      <w:r>
        <w:t xml:space="preserve">The attack rate per 10,000 population is below (based on available population data available for the catchment area/region of interest).</w:t>
      </w:r>
    </w:p>
    <w:p>
      <w:pPr>
        <w:pStyle w:val="BodyText"/>
      </w:pPr>
      <w:r>
        <w:t xml:space="preserve">Below gives the attack rate per 10,000 population (N = 4,999.5)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600.1</w:t>
            </w:r>
          </w:p>
        </w:tc>
        <w:tc>
          <w:p>
            <w:pPr>
              <w:pStyle w:val="Compact"/>
              <w:jc w:val="right"/>
            </w:pPr>
            <w:r>
              <w:t xml:space="preserve">(537.54–669.33)</w:t>
            </w:r>
          </w:p>
        </w:tc>
      </w:tr>
    </w:tbl>
    <w:p>
      <w:pPr>
        <w:pStyle w:val="BodyText"/>
      </w:pPr>
      <w:r>
        <w:t xml:space="preserve">Here, we can see that the attack rate for a population of 4,999.5 was 600.06 (CI 537.54–669.33).</w:t>
      </w:r>
    </w:p>
    <w:p>
      <w:pPr>
        <w:pStyle w:val="BodyText"/>
      </w:pPr>
      <w:r>
        <w:t xml:space="preserve">To give attack rate by age group, with appropriate population denominators, use the following code.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340.0</w:t>
            </w:r>
          </w:p>
        </w:tc>
        <w:tc>
          <w:p>
            <w:pPr>
              <w:pStyle w:val="Compact"/>
              <w:jc w:val="right"/>
            </w:pPr>
            <w:r>
              <w:t xml:space="preserve">205.9</w:t>
            </w:r>
          </w:p>
        </w:tc>
        <w:tc>
          <w:p>
            <w:pPr>
              <w:pStyle w:val="Compact"/>
              <w:jc w:val="left"/>
            </w:pPr>
            <w:r>
              <w:t xml:space="preserve">(100.08–418.81)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1,811.0</w:t>
            </w:r>
          </w:p>
        </w:tc>
        <w:tc>
          <w:p>
            <w:pPr>
              <w:pStyle w:val="Compact"/>
              <w:jc w:val="right"/>
            </w:pPr>
            <w:r>
              <w:t xml:space="preserve">143.6</w:t>
            </w:r>
          </w:p>
        </w:tc>
        <w:tc>
          <w:p>
            <w:pPr>
              <w:pStyle w:val="Compact"/>
              <w:jc w:val="left"/>
            </w:pPr>
            <w:r>
              <w:t xml:space="preserve">(98.16–209.53)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1,380.0</w:t>
            </w:r>
          </w:p>
        </w:tc>
        <w:tc>
          <w:p>
            <w:pPr>
              <w:pStyle w:val="Compact"/>
              <w:jc w:val="right"/>
            </w:pPr>
            <w:r>
              <w:t xml:space="preserve">297.1</w:t>
            </w:r>
          </w:p>
        </w:tc>
        <w:tc>
          <w:p>
            <w:pPr>
              <w:pStyle w:val="Compact"/>
              <w:jc w:val="left"/>
            </w:pPr>
            <w:r>
              <w:t xml:space="preserve">(219.75–400.56)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808.0</w:t>
            </w:r>
          </w:p>
        </w:tc>
        <w:tc>
          <w:p>
            <w:pPr>
              <w:pStyle w:val="Compact"/>
              <w:jc w:val="right"/>
            </w:pPr>
            <w:r>
              <w:t xml:space="preserve">581.7</w:t>
            </w:r>
          </w:p>
        </w:tc>
        <w:tc>
          <w:p>
            <w:pPr>
              <w:pStyle w:val="Compact"/>
              <w:jc w:val="left"/>
            </w:pPr>
            <w:r>
              <w:t xml:space="preserve">(440.23–764.95)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660.5</w:t>
            </w:r>
          </w:p>
        </w:tc>
        <w:tc>
          <w:p>
            <w:pPr>
              <w:pStyle w:val="Compact"/>
              <w:jc w:val="right"/>
            </w:pPr>
            <w:r>
              <w:t xml:space="preserve">2,710.1</w:t>
            </w:r>
          </w:p>
        </w:tc>
        <w:tc>
          <w:p>
            <w:pPr>
              <w:pStyle w:val="Compact"/>
              <w:jc w:val="left"/>
            </w:pPr>
            <w:r>
              <w:t xml:space="preserve">(2385.06–3061.56)</w:t>
            </w:r>
          </w:p>
        </w:tc>
      </w:tr>
    </w:tbl>
    <w:bookmarkEnd w:id="25"/>
    <w:bookmarkStart w:id="26" w:name="mortality-attributable-to-cholera"/>
    <w:p>
      <w:pPr>
        <w:pStyle w:val="Heading4"/>
      </w:pPr>
      <w:r>
        <w:t xml:space="preserve">Mortality attributable to cholera</w:t>
      </w:r>
    </w:p>
    <w:p>
      <w:pPr>
        <w:pStyle w:val="FirstParagraph"/>
      </w:pPr>
      <w:r>
        <w:t xml:space="preserve">Mortality rate attributable to cholera per 10,000 population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left"/>
            </w:pPr>
            <w:r>
              <w:t xml:space="preserve">(159.31–236.11)</w:t>
            </w:r>
          </w:p>
        </w:tc>
      </w:tr>
    </w:tbl>
    <w:p>
      <w:pPr>
        <w:pStyle w:val="BodyText"/>
      </w:pPr>
      <w:r>
        <w:t xml:space="preserve">Crude mortality rate attributable to cholera per 10,000 population per day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Person-days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10,000/day)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97</w:t>
            </w:r>
          </w:p>
        </w:tc>
        <w:tc>
          <w:p>
            <w:pPr>
              <w:pStyle w:val="Compact"/>
              <w:jc w:val="right"/>
            </w:pPr>
            <w:r>
              <w:t xml:space="preserve">2619738</w:t>
            </w:r>
          </w:p>
        </w:tc>
        <w:tc>
          <w:p>
            <w:pPr>
              <w:pStyle w:val="Compact"/>
              <w:jc w:val="right"/>
            </w:pPr>
            <w:r>
              <w:t xml:space="preserve">0.4</w:t>
            </w:r>
          </w:p>
        </w:tc>
        <w:tc>
          <w:p>
            <w:pPr>
              <w:pStyle w:val="Compact"/>
              <w:jc w:val="left"/>
            </w:pPr>
            <w:r>
              <w:t xml:space="preserve">(0.30–0.45)</w:t>
            </w:r>
          </w:p>
        </w:tc>
      </w:tr>
    </w:tbl>
    <w:p>
      <w:pPr>
        <w:pStyle w:val="BodyText"/>
      </w:pPr>
      <w:r>
        <w:t xml:space="preserve">Mortality rate attributable to cholera per 10,000 patients per day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10,000/day)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97</w:t>
            </w:r>
          </w:p>
        </w:tc>
        <w:tc>
          <w:p>
            <w:pPr>
              <w:pStyle w:val="Compact"/>
              <w:jc w:val="right"/>
            </w:pPr>
            <w:r>
              <w:t xml:space="preserve">8742</w:t>
            </w:r>
          </w:p>
        </w:tc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left"/>
            </w:pPr>
            <w:r>
              <w:t xml:space="preserve">(91.05–135.16)</w:t>
            </w:r>
          </w:p>
        </w:tc>
      </w:tr>
    </w:tbl>
    <w:bookmarkEnd w:id="26"/>
    <w:bookmarkEnd w:id="27"/>
    <w:bookmarkStart w:id="34" w:name="time"/>
    <w:p>
      <w:pPr>
        <w:pStyle w:val="Heading3"/>
      </w:pPr>
      <w:r>
        <w:t xml:space="preserve">Time</w:t>
      </w:r>
    </w:p>
    <w:p>
      <w:pPr>
        <w:pStyle w:val="FirstParagraph"/>
      </w:pPr>
      <w:r>
        <w:t xml:space="preserve">There were 0 (0.0%) cases missing dates of onset.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epicur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peak of the outbreak was in 2018-W15.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biweekly_epicur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gend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case_de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Cases by week of onset among inpatients by sex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sex_faci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Attack rate per 10,000 population by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(2.04–17.63)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(6.78–28.88)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(13.74–41.91)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(16.69–46.95)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(2.04–17.63)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(27.49–64.13)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(15.20–44.44)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(16.69–46.95)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(29.08–66.54)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(42.07–85.53)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(27.49–64.13)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(43.72–87.88)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(43.72–87.88)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(33.89–73.72)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(24.34–59.28)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(16.69–46.95)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(22.79–56.84)</w:t>
            </w:r>
          </w:p>
        </w:tc>
      </w:tr>
    </w:tbl>
    <w:p>
      <w:pPr>
        <w:pStyle w:val="BodyText"/>
      </w:pPr>
      <w:r>
        <w:t xml:space="preserve">Cumulative attack rate per 10,000 population per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10.0</w:t>
            </w:r>
          </w:p>
        </w:tc>
        <w:tc>
          <w:p>
            <w:pPr>
              <w:pStyle w:val="Compact"/>
              <w:jc w:val="right"/>
            </w:pPr>
            <w:r>
              <w:t xml:space="preserve">(4.27–23.39)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  <w:tc>
          <w:p>
            <w:pPr>
              <w:pStyle w:val="Compact"/>
              <w:jc w:val="right"/>
            </w:pPr>
            <w:r>
              <w:t xml:space="preserve">(13.74–41.91)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48.0</w:t>
            </w:r>
          </w:p>
        </w:tc>
        <w:tc>
          <w:p>
            <w:pPr>
              <w:pStyle w:val="Compact"/>
              <w:jc w:val="right"/>
            </w:pPr>
            <w:r>
              <w:t xml:space="preserve">(32.28–71.33)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76.0</w:t>
            </w:r>
          </w:p>
        </w:tc>
        <w:tc>
          <w:p>
            <w:pPr>
              <w:pStyle w:val="Compact"/>
              <w:jc w:val="right"/>
            </w:pPr>
            <w:r>
              <w:t xml:space="preserve">(55.43–104.15)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82.0</w:t>
            </w:r>
          </w:p>
        </w:tc>
        <w:tc>
          <w:p>
            <w:pPr>
              <w:pStyle w:val="Compact"/>
              <w:jc w:val="right"/>
            </w:pPr>
            <w:r>
              <w:t xml:space="preserve">(60.51–111.06)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124.0</w:t>
            </w:r>
          </w:p>
        </w:tc>
        <w:tc>
          <w:p>
            <w:pPr>
              <w:pStyle w:val="Compact"/>
              <w:jc w:val="right"/>
            </w:pPr>
            <w:r>
              <w:t xml:space="preserve">(96.86–158.65)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150.0</w:t>
            </w:r>
          </w:p>
        </w:tc>
        <w:tc>
          <w:p>
            <w:pPr>
              <w:pStyle w:val="Compact"/>
              <w:jc w:val="right"/>
            </w:pPr>
            <w:r>
              <w:t xml:space="preserve">(119.85–187.63)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178.0</w:t>
            </w:r>
          </w:p>
        </w:tc>
        <w:tc>
          <w:p>
            <w:pPr>
              <w:pStyle w:val="Compact"/>
              <w:jc w:val="right"/>
            </w:pPr>
            <w:r>
              <w:t xml:space="preserve">(144.89–218.55)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222.0</w:t>
            </w:r>
          </w:p>
        </w:tc>
        <w:tc>
          <w:p>
            <w:pPr>
              <w:pStyle w:val="Compact"/>
              <w:jc w:val="right"/>
            </w:pPr>
            <w:r>
              <w:t xml:space="preserve">(184.70–266.68)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282.0</w:t>
            </w:r>
          </w:p>
        </w:tc>
        <w:tc>
          <w:p>
            <w:pPr>
              <w:pStyle w:val="Compact"/>
              <w:jc w:val="right"/>
            </w:pPr>
            <w:r>
              <w:t xml:space="preserve">(239.64–331.67)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324.0</w:t>
            </w:r>
          </w:p>
        </w:tc>
        <w:tc>
          <w:p>
            <w:pPr>
              <w:pStyle w:val="Compact"/>
              <w:jc w:val="right"/>
            </w:pPr>
            <w:r>
              <w:t xml:space="preserve">(278.43–376.82)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386.0</w:t>
            </w:r>
          </w:p>
        </w:tc>
        <w:tc>
          <w:p>
            <w:pPr>
              <w:pStyle w:val="Compact"/>
              <w:jc w:val="right"/>
            </w:pPr>
            <w:r>
              <w:t xml:space="preserve">(336.08–443.08)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224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448.0</w:t>
            </w:r>
          </w:p>
        </w:tc>
        <w:tc>
          <w:p>
            <w:pPr>
              <w:pStyle w:val="Compact"/>
              <w:jc w:val="right"/>
            </w:pPr>
            <w:r>
              <w:t xml:space="preserve">(394.11–508.97)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498.0</w:t>
            </w:r>
          </w:p>
        </w:tc>
        <w:tc>
          <w:p>
            <w:pPr>
              <w:pStyle w:val="Compact"/>
              <w:jc w:val="right"/>
            </w:pPr>
            <w:r>
              <w:t xml:space="preserve">(441.13–561.88)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536.1</w:t>
            </w:r>
          </w:p>
        </w:tc>
        <w:tc>
          <w:p>
            <w:pPr>
              <w:pStyle w:val="Compact"/>
              <w:jc w:val="right"/>
            </w:pPr>
            <w:r>
              <w:t xml:space="preserve">(476.98–601.99)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564.1</w:t>
            </w:r>
          </w:p>
        </w:tc>
        <w:tc>
          <w:p>
            <w:pPr>
              <w:pStyle w:val="Compact"/>
              <w:jc w:val="right"/>
            </w:pPr>
            <w:r>
              <w:t xml:space="preserve">(503.45–631.48)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600.1</w:t>
            </w:r>
          </w:p>
        </w:tc>
        <w:tc>
          <w:p>
            <w:pPr>
              <w:pStyle w:val="Compact"/>
              <w:jc w:val="right"/>
            </w:pPr>
            <w:r>
              <w:t xml:space="preserve">(537.54–669.33)</w:t>
            </w:r>
          </w:p>
        </w:tc>
      </w:tr>
    </w:tbl>
    <w:p>
      <w:pPr>
        <w:pStyle w:val="BodyText"/>
      </w:pPr>
      <w:r>
        <w:t xml:space="preserve">Case fatality ratio as a proportion among inpatients by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(9.45–90.55)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(9.45–90.55)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(18.76–81.24)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12.5</w:t>
            </w:r>
          </w:p>
        </w:tc>
        <w:tc>
          <w:p>
            <w:pPr>
              <w:pStyle w:val="Compact"/>
              <w:jc w:val="right"/>
            </w:pPr>
            <w:r>
              <w:t xml:space="preserve">(2.24–47.09)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42.9</w:t>
            </w:r>
          </w:p>
        </w:tc>
        <w:tc>
          <w:p>
            <w:pPr>
              <w:pStyle w:val="Compact"/>
              <w:jc w:val="right"/>
            </w:pPr>
            <w:r>
              <w:t xml:space="preserve">(15.82–74.95)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(0.00–56.15)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right"/>
            </w:pPr>
            <w:r>
              <w:t xml:space="preserve">(12.68–57.63)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(0.00–48.99)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(23.66–76.34)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43.8</w:t>
            </w:r>
          </w:p>
        </w:tc>
        <w:tc>
          <w:p>
            <w:pPr>
              <w:pStyle w:val="Compact"/>
              <w:jc w:val="right"/>
            </w:pPr>
            <w:r>
              <w:t xml:space="preserve">(23.10–66.82)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15.0</w:t>
            </w:r>
          </w:p>
        </w:tc>
        <w:tc>
          <w:p>
            <w:pPr>
              <w:pStyle w:val="Compact"/>
              <w:jc w:val="right"/>
            </w:pPr>
            <w:r>
              <w:t xml:space="preserve">(5.24–36.04)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27.8</w:t>
            </w:r>
          </w:p>
        </w:tc>
        <w:tc>
          <w:p>
            <w:pPr>
              <w:pStyle w:val="Compact"/>
              <w:jc w:val="right"/>
            </w:pPr>
            <w:r>
              <w:t xml:space="preserve">(12.50–50.87)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  <w:tc>
          <w:p>
            <w:pPr>
              <w:pStyle w:val="Compact"/>
              <w:jc w:val="right"/>
            </w:pPr>
            <w:r>
              <w:t xml:space="preserve">(18.81–55.11)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18.2</w:t>
            </w:r>
          </w:p>
        </w:tc>
        <w:tc>
          <w:p>
            <w:pPr>
              <w:pStyle w:val="Compact"/>
              <w:jc w:val="right"/>
            </w:pPr>
            <w:r>
              <w:t xml:space="preserve">(7.31–38.52)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(20.75–59.12)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27.3</w:t>
            </w:r>
          </w:p>
        </w:tc>
        <w:tc>
          <w:p>
            <w:pPr>
              <w:pStyle w:val="Compact"/>
              <w:jc w:val="right"/>
            </w:pPr>
            <w:r>
              <w:t xml:space="preserve">(9.75–56.56)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(10.78–60.32)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(8.89–53.23)</w:t>
            </w:r>
          </w:p>
        </w:tc>
      </w:tr>
    </w:tbl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epicurve_ar_cf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Inpatient admissions by case definition and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right"/>
            </w:pPr>
            <w:r>
              <w:t xml:space="preserve">Confirmed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6.9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8.8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8.3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</w:tr>
    </w:tbl>
    <w:p>
      <w:pPr>
        <w:pStyle w:val="BodyText"/>
      </w:pPr>
      <w:r>
        <w:t xml:space="preserve">Inpatient discharges by reason for exit and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Week</w:t>
            </w:r>
          </w:p>
        </w:tc>
        <w:tc>
          <w:p>
            <w:pPr>
              <w:pStyle w:val="Compact"/>
              <w:jc w:val="right"/>
            </w:pPr>
            <w:r>
              <w:t xml:space="preserve">Died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Discharged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Left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Transferred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6.5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9.1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11.3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12.1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10.5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12.0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10.5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9.3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12.9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9.1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10.5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10.7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12.1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12.0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12.9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9.1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9.3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</w:tr>
    </w:tbl>
    <w:bookmarkEnd w:id="34"/>
    <w:bookmarkStart w:id="57" w:name="place"/>
    <w:p>
      <w:pPr>
        <w:pStyle w:val="Heading3"/>
      </w:pPr>
      <w:r>
        <w:t xml:space="preserve">Place</w:t>
      </w:r>
    </w:p>
    <w:bookmarkStart w:id="36" w:name="descriptive"/>
    <w:p>
      <w:pPr>
        <w:pStyle w:val="Heading4"/>
      </w:pPr>
      <w:r>
        <w:t xml:space="preserve">Descriptive</w:t>
      </w:r>
    </w:p>
    <w:p>
      <w:pPr>
        <w:pStyle w:val="FirstParagraph"/>
      </w:pPr>
      <w:r>
        <w:t xml:space="preserve">Cases by region and facility type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Inpatient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Outpatient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28.8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21.7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26.0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26.1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Inpatient discharges by reason for exit and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Died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Discharged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Left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Transferred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28.9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26.7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28.9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27.3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25.3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</w:tr>
    </w:tbl>
    <w:p>
      <w:pPr>
        <w:pStyle w:val="BodyText"/>
      </w:pPr>
      <w:r>
        <w:t xml:space="preserve">Attack rage per 10,000 population by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1,105</w:t>
            </w:r>
          </w:p>
        </w:tc>
        <w:tc>
          <w:p>
            <w:pPr>
              <w:pStyle w:val="Compact"/>
              <w:jc w:val="right"/>
            </w:pPr>
            <w:r>
              <w:t xml:space="preserve">714.9</w:t>
            </w:r>
          </w:p>
        </w:tc>
        <w:tc>
          <w:p>
            <w:pPr>
              <w:pStyle w:val="Compact"/>
              <w:jc w:val="right"/>
            </w:pPr>
            <w:r>
              <w:t xml:space="preserve">(577.40–882.15)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931.0</w:t>
            </w:r>
          </w:p>
        </w:tc>
        <w:tc>
          <w:p>
            <w:pPr>
              <w:pStyle w:val="Compact"/>
              <w:jc w:val="right"/>
            </w:pPr>
            <w:r>
              <w:t xml:space="preserve">(755.43–1142.41)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1,775</w:t>
            </w:r>
          </w:p>
        </w:tc>
        <w:tc>
          <w:p>
            <w:pPr>
              <w:pStyle w:val="Compact"/>
              <w:jc w:val="right"/>
            </w:pPr>
            <w:r>
              <w:t xml:space="preserve">349.3</w:t>
            </w:r>
          </w:p>
        </w:tc>
        <w:tc>
          <w:p>
            <w:pPr>
              <w:pStyle w:val="Compact"/>
              <w:jc w:val="right"/>
            </w:pPr>
            <w:r>
              <w:t xml:space="preserve">(273.43–445.25)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1,225</w:t>
            </w:r>
          </w:p>
        </w:tc>
        <w:tc>
          <w:p>
            <w:pPr>
              <w:pStyle w:val="Compact"/>
              <w:jc w:val="right"/>
            </w:pPr>
            <w:r>
              <w:t xml:space="preserve">636.7</w:t>
            </w:r>
          </w:p>
        </w:tc>
        <w:tc>
          <w:p>
            <w:pPr>
              <w:pStyle w:val="Compact"/>
              <w:jc w:val="right"/>
            </w:pPr>
            <w:r>
              <w:t xml:space="preserve">(513.18–787.57)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bar_attack_rate_by_reg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Mortality rate per 10,000 population by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1105</w:t>
            </w:r>
          </w:p>
        </w:tc>
        <w:tc>
          <w:p>
            <w:pPr>
              <w:pStyle w:val="Compact"/>
              <w:jc w:val="right"/>
            </w:pPr>
            <w:r>
              <w:t xml:space="preserve">217.2</w:t>
            </w:r>
          </w:p>
        </w:tc>
        <w:tc>
          <w:p>
            <w:pPr>
              <w:pStyle w:val="Compact"/>
              <w:jc w:val="left"/>
            </w:pPr>
            <w:r>
              <w:t xml:space="preserve">(146.38–321.15)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310.3</w:t>
            </w:r>
          </w:p>
        </w:tc>
        <w:tc>
          <w:p>
            <w:pPr>
              <w:pStyle w:val="Compact"/>
              <w:jc w:val="left"/>
            </w:pPr>
            <w:r>
              <w:t xml:space="preserve">(214.15–447.77)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1775</w:t>
            </w:r>
          </w:p>
        </w:tc>
        <w:tc>
          <w:p>
            <w:pPr>
              <w:pStyle w:val="Compact"/>
              <w:jc w:val="right"/>
            </w:pPr>
            <w:r>
              <w:t xml:space="preserve">118.3</w:t>
            </w:r>
          </w:p>
        </w:tc>
        <w:tc>
          <w:p>
            <w:pPr>
              <w:pStyle w:val="Compact"/>
              <w:jc w:val="left"/>
            </w:pPr>
            <w:r>
              <w:t xml:space="preserve">(77.51–180.19)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1225</w:t>
            </w:r>
          </w:p>
        </w:tc>
        <w:tc>
          <w:p>
            <w:pPr>
              <w:pStyle w:val="Compact"/>
              <w:jc w:val="right"/>
            </w:pPr>
            <w:r>
              <w:t xml:space="preserve">204.1</w:t>
            </w:r>
          </w:p>
        </w:tc>
        <w:tc>
          <w:p>
            <w:pPr>
              <w:pStyle w:val="Compact"/>
              <w:jc w:val="left"/>
            </w:pPr>
            <w:r>
              <w:t xml:space="preserve">(138.61–299.54)</w:t>
            </w:r>
          </w:p>
        </w:tc>
      </w:tr>
    </w:tbl>
    <w:bookmarkEnd w:id="36"/>
    <w:bookmarkStart w:id="56" w:name="maps"/>
    <w:p>
      <w:pPr>
        <w:pStyle w:val="Heading4"/>
      </w:pPr>
      <w:r>
        <w:t xml:space="preserve">Maps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choropleth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hyperlink" Id="rId21" Target="https://github.com/R4EPI/sitrep/issues" TargetMode="External" /><Relationship Type="http://schemas.openxmlformats.org/officeDocument/2006/relationships/hyperlink" Id="rId20" Target="https://r4epis.netlify.com/outbreak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R4EPI/sitrep/issues" TargetMode="External" /><Relationship Type="http://schemas.openxmlformats.org/officeDocument/2006/relationships/hyperlink" Id="rId20" Target="https://r4epis.netlify.com/outbrea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Cholera outbreak report</dc:title>
  <dc:creator/>
  <cp:keywords/>
  <dcterms:created xsi:type="dcterms:W3CDTF">2022-05-27T13:47:54Z</dcterms:created>
  <dcterms:modified xsi:type="dcterms:W3CDTF">2022-05-27T13:47:54Z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