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2: Research methods</w:t>
      </w:r>
    </w:p>
    <w:p>
      <w:pPr>
        <w:pStyle w:val="Heading2"/>
      </w:pPr>
      <w:r>
        <w:t>Learning objectives</w:t>
      </w:r>
    </w:p>
    <w:p>
      <w:r>
        <w:t>By the end, you can identify three sources of bias.</w:t>
      </w:r>
      <w:r>
        <w:t xml:space="preserve"> Read the </w:t>
      </w:r>
      <w:hyperlink r:id="rId9">
        <w:r>
          <w:rPr>
            <w:color w:val="0563C1"/>
            <w:u w:val="single"/>
          </w:rPr>
          <w:t>grading rubric</w:t>
        </w:r>
      </w:hyperlink>
      <w:r>
        <w:t>.</w:t>
      </w:r>
    </w:p>
    <w:p>
      <w:r>
        <w:drawing>
          <wp:inline xmlns:a="http://schemas.openxmlformats.org/drawingml/2006/main" xmlns:pic="http://schemas.openxmlformats.org/drawingml/2006/picture">
            <wp:extent cx="1828800" cy="914400"/>
            <wp:docPr id="1" name="Picture 1" descr="Diagram showing the three stages of the research cyc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</w:tcPr>
          <w:p>
            <w:r>
              <w:t>Stage</w:t>
            </w:r>
          </w:p>
        </w:tc>
        <w:tc>
          <w:tcPr>
            <w:tcW w:type="dxa" w:w="4320"/>
          </w:tcPr>
          <w:p>
            <w:r>
              <w:t>Deliverable</w:t>
            </w:r>
          </w:p>
        </w:tc>
      </w:tr>
      <w:tr>
        <w:tc>
          <w:tcPr>
            <w:tcW w:type="dxa" w:w="4320"/>
          </w:tcPr>
          <w:p>
            <w:r>
              <w:t>Plan</w:t>
            </w:r>
          </w:p>
        </w:tc>
        <w:tc>
          <w:tcPr>
            <w:tcW w:type="dxa" w:w="4320"/>
          </w:tcPr>
          <w:p>
            <w:r>
              <w:t>Question</w:t>
            </w:r>
          </w:p>
        </w:tc>
      </w:tr>
      <w:tr>
        <w:tc>
          <w:tcPr>
            <w:tcW w:type="dxa" w:w="4320"/>
          </w:tcPr>
          <w:p>
            <w:r>
              <w:t>Collect</w:t>
            </w:r>
          </w:p>
        </w:tc>
        <w:tc>
          <w:tcPr>
            <w:tcW w:type="dxa" w:w="4320"/>
          </w:tcPr>
          <w:p>
            <w:r>
              <w:t>Dataset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lang w:val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org/rubric" TargetMode="Externa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accessibility sample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