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framePr w:dropCap="drop" w:lines="3" w:wrap="around" w:vAnchor="text" w:hAnchor="text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970" w:lineRule="exact"/>
        <w:ind w:firstLine="0" w:firstLineChars="0"/>
        <w:jc w:val="left"/>
        <w:textAlignment w:val="baseline"/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</w:pPr>
      <w:r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  <w:t>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i/>
          <w:iCs/>
          <w:color w:val="5EBDEA"/>
          <w:sz w:val="52"/>
          <w:szCs w:val="5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Arial" w:hAnsi="Arial" w:eastAsia="黑体" w:cs="Arial"/>
          <w:b/>
          <w:bCs/>
          <w:i/>
          <w:iCs/>
          <w:color w:val="auto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30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tbl>
      <w:tblPr>
        <w:tblStyle w:val="7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4472C4" w:themeColor="accent5" w:sz="6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595"/>
        <w:gridCol w:w="732"/>
        <w:gridCol w:w="226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0" w:type="auto"/>
            <w:vMerge w:val="restart"/>
            <w:tcBorders>
              <w:tl2br w:val="nil"/>
              <w:tr2bl w:val="nil"/>
            </w:tcBorders>
            <w:shd w:val="clear" w:color="auto" w:fill="4472C4" w:themeFill="accent5"/>
            <w:textDirection w:val="tbRl"/>
            <w:vAlign w:val="center"/>
          </w:tcPr>
          <w:p>
            <w:pPr>
              <w:bidi w:val="0"/>
              <w:ind w:left="113" w:right="113"/>
              <w:jc w:val="distribute"/>
              <w:rPr>
                <w:rFonts w:hint="eastAsia" w:ascii="黑体" w:hAnsi="黑体" w:eastAsia="黑体" w:cs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  <w:sectPr>
          <w:pgSz w:w="8390" w:h="11905"/>
          <w:pgMar w:top="850" w:right="1134" w:bottom="850" w:left="1134" w:header="425" w:footer="4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0" w:num="1"/>
          <w:rtlGutter w:val="0"/>
          <w:docGrid w:type="lines" w:linePitch="329" w:charSpace="0"/>
        </w:sect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"https://edu.kdocs.cn/"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金山文档教育版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0"/>
      </w:r>
      <w:r>
        <w:rPr>
          <w:rFonts w:hint="eastAsia"/>
        </w:rPr>
        <w:t>新建页面和「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"https://www.docer.com/"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稻壳儿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1"/>
      </w:r>
      <w:r>
        <w:rPr>
          <w:rFonts w:hint="eastAsia"/>
        </w:rPr>
        <w:t>内容服务平台获取到大量线上模板和高频制作的常规文档，如课程表、学生成绩单统计表、教学课件、学生学籍信息收集等等，点击即可打开使用。更有为教职工精心打造的「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"https://www.wps.cn/learning/"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WPS学院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2"/>
      </w:r>
      <w:r>
        <w:rPr>
          <w:rFonts w:hint="eastAsia"/>
        </w:rPr>
        <w:t>Office技巧学习平台，学习文字技巧、表格技巧、演示技巧、PDF技巧，提升办公效率。</w:t>
      </w:r>
    </w:p>
    <w:p>
      <w:p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08960" cy="1979930"/>
            <wp:effectExtent l="15875" t="15875" r="75565" b="80645"/>
            <wp:wrapSquare wrapText="bothSides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08960" cy="1979930"/>
            <wp:effectExtent l="15875" t="15875" r="75565" b="80645"/>
            <wp:wrapSquare wrapText="bothSides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48965" cy="1800225"/>
            <wp:effectExtent l="15875" t="15875" r="73660" b="6985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00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</w:t>
      </w:r>
      <w:bookmarkStart w:id="0" w:name="_GoBack"/>
      <w:bookmarkEnd w:id="0"/>
      <w:r>
        <w:rPr>
          <w:rFonts w:hint="default"/>
          <w:lang w:val="en-US" w:eastAsia="zh-CN"/>
        </w:rPr>
        <w:t>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748405" cy="1800225"/>
            <wp:effectExtent l="15875" t="15875" r="83820" b="69850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00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headerReference r:id="rId4" w:type="default"/>
      <w:footerReference r:id="rId6" w:type="default"/>
      <w:headerReference r:id="rId5" w:type="even"/>
      <w:footerReference r:id="rId7" w:type="even"/>
      <w:pgSz w:w="11905" w:h="8390" w:orient="landscape"/>
      <w:pgMar w:top="1134" w:right="850" w:bottom="1134" w:left="850" w:header="425" w:footer="42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 w:start="1"/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金山文档教育版：https://edu.kdocs.cn/</w:t>
      </w:r>
    </w:p>
  </w:footnote>
  <w:footnote w:id="1">
    <w:p>
      <w:pPr>
        <w:bidi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稻壳儿：https://www.docer.com/</w:t>
      </w:r>
    </w:p>
  </w:footnote>
  <w:footnote w:id="2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WPS学院：https://www.wps.cn/learning/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evenAndOddHeaders w:val="1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2YzIzNjY2ZDAxYjBkMjRjMjI4OGQ4ZjY3M2U5ZTgifQ=="/>
  </w:docVars>
  <w:rsids>
    <w:rsidRoot w:val="60094D4F"/>
    <w:rsid w:val="02520837"/>
    <w:rsid w:val="042A2023"/>
    <w:rsid w:val="050C6832"/>
    <w:rsid w:val="058E3E93"/>
    <w:rsid w:val="074D5C2E"/>
    <w:rsid w:val="085E7A9C"/>
    <w:rsid w:val="098350BF"/>
    <w:rsid w:val="0A051E9B"/>
    <w:rsid w:val="0B7E1B7C"/>
    <w:rsid w:val="0DF85745"/>
    <w:rsid w:val="0E73568D"/>
    <w:rsid w:val="0E9468D6"/>
    <w:rsid w:val="10DD4F27"/>
    <w:rsid w:val="10FB14BE"/>
    <w:rsid w:val="112C4A8A"/>
    <w:rsid w:val="11A3523F"/>
    <w:rsid w:val="11DA33C0"/>
    <w:rsid w:val="12991221"/>
    <w:rsid w:val="13042E39"/>
    <w:rsid w:val="14420982"/>
    <w:rsid w:val="16E1465D"/>
    <w:rsid w:val="16F73377"/>
    <w:rsid w:val="17782031"/>
    <w:rsid w:val="189A06AB"/>
    <w:rsid w:val="191A5167"/>
    <w:rsid w:val="1E8C072E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2F47F8"/>
    <w:rsid w:val="2A982FB2"/>
    <w:rsid w:val="2EF10AE9"/>
    <w:rsid w:val="31BC4C7D"/>
    <w:rsid w:val="32041152"/>
    <w:rsid w:val="32B36F3E"/>
    <w:rsid w:val="34A53CE0"/>
    <w:rsid w:val="35785FAE"/>
    <w:rsid w:val="35AE0E7B"/>
    <w:rsid w:val="3671504F"/>
    <w:rsid w:val="386E1CDE"/>
    <w:rsid w:val="38D0688A"/>
    <w:rsid w:val="38D175AD"/>
    <w:rsid w:val="393175B5"/>
    <w:rsid w:val="394A109E"/>
    <w:rsid w:val="3AB2661B"/>
    <w:rsid w:val="3C4958D0"/>
    <w:rsid w:val="3C9E4BB3"/>
    <w:rsid w:val="3DBF66F2"/>
    <w:rsid w:val="3DF90693"/>
    <w:rsid w:val="3E732303"/>
    <w:rsid w:val="3F905052"/>
    <w:rsid w:val="402A34C5"/>
    <w:rsid w:val="414C3622"/>
    <w:rsid w:val="415D6173"/>
    <w:rsid w:val="42480B67"/>
    <w:rsid w:val="4370065D"/>
    <w:rsid w:val="44834142"/>
    <w:rsid w:val="44952A1A"/>
    <w:rsid w:val="4A7B79D6"/>
    <w:rsid w:val="4ADF74A7"/>
    <w:rsid w:val="4BB9512C"/>
    <w:rsid w:val="4D277475"/>
    <w:rsid w:val="4F631B2C"/>
    <w:rsid w:val="50065F48"/>
    <w:rsid w:val="51852431"/>
    <w:rsid w:val="53B370E3"/>
    <w:rsid w:val="546111A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9412936"/>
    <w:rsid w:val="5A865268"/>
    <w:rsid w:val="5CC169B2"/>
    <w:rsid w:val="5F623AD3"/>
    <w:rsid w:val="5F8129ED"/>
    <w:rsid w:val="5FA83913"/>
    <w:rsid w:val="60094D4F"/>
    <w:rsid w:val="60366C53"/>
    <w:rsid w:val="60630AC9"/>
    <w:rsid w:val="615E115F"/>
    <w:rsid w:val="616178A3"/>
    <w:rsid w:val="61975CDC"/>
    <w:rsid w:val="65BB5D08"/>
    <w:rsid w:val="65EB7267"/>
    <w:rsid w:val="668235B3"/>
    <w:rsid w:val="66B71D45"/>
    <w:rsid w:val="673B7A7D"/>
    <w:rsid w:val="69144049"/>
    <w:rsid w:val="6A131607"/>
    <w:rsid w:val="6A5F0CB4"/>
    <w:rsid w:val="6B036428"/>
    <w:rsid w:val="6D9C5674"/>
    <w:rsid w:val="6DAD1F4B"/>
    <w:rsid w:val="6E2951C9"/>
    <w:rsid w:val="6E82267D"/>
    <w:rsid w:val="713D5C88"/>
    <w:rsid w:val="731A71E1"/>
    <w:rsid w:val="73E64A6C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top w:val="single" w:color="auto" w:sz="12" w:space="1"/>
        <w:left w:val="none" w:color="auto" w:sz="0" w:space="4"/>
        <w:bottom w:val="single" w:color="auto" w:sz="12" w:space="1"/>
        <w:right w:val="none" w:color="auto" w:sz="0" w:space="4"/>
      </w:pBdr>
      <w:shd w:val="clear" w:fill="4472C4" w:themeFill="accent5"/>
      <w:spacing w:before="50" w:beforeLines="50" w:beforeAutospacing="0" w:after="50" w:afterLines="50" w:afterAutospacing="0" w:line="240" w:lineRule="auto"/>
      <w:jc w:val="center"/>
      <w:outlineLvl w:val="0"/>
    </w:pPr>
    <w:rPr>
      <w:rFonts w:ascii="Arial" w:hAnsi="Arial" w:eastAsia="黑体"/>
      <w:color w:val="FFFFFF" w:themeColor="background1"/>
      <w:kern w:val="44"/>
      <w:sz w:val="48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1052</Words>
  <Characters>1174</Characters>
  <Lines>0</Lines>
  <Paragraphs>0</Paragraphs>
  <TotalTime>13</TotalTime>
  <ScaleCrop>false</ScaleCrop>
  <LinksUpToDate>false</LinksUpToDate>
  <CharactersWithSpaces>1179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KSO</dc:creator>
  <cp:lastModifiedBy>阿福课堂-阿福</cp:lastModifiedBy>
  <dcterms:modified xsi:type="dcterms:W3CDTF">2025-05-14T05:51:05Z</dcterms:modified>
  <dc:title>金山文档教育版宣传册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E13A62C49CC249BFBBD120E56EA90E4C</vt:lpwstr>
  </property>
</Properties>
</file>