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eastAsia="仿宋_GB2312"/>
              </w:rPr>
            </w:pPr>
            <w:r>
              <w:rPr>
                <w:rFonts w:hint="eastAsia"/>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研究生姓名</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restart"/>
            <w:tcBorders>
              <w:top w:val="nil"/>
              <w:left w:val="nil"/>
              <w:bottom w:val="nil"/>
              <w:right w:val="nil"/>
            </w:tcBorders>
            <w:vAlign w:val="center"/>
          </w:tcPr>
          <w:p>
            <w:pPr>
              <w:adjustRightInd w:val="0"/>
              <w:snapToGrid w:val="0"/>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学号</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指导教师姓名及职称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专业名称</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jc w:val="distribute"/>
              <w:rPr>
                <w:sz w:val="28"/>
                <w:szCs w:val="28"/>
              </w:rPr>
            </w:pPr>
            <w:r>
              <w:rPr>
                <w:rFonts w:hint="eastAsia"/>
                <w:sz w:val="28"/>
                <w:szCs w:val="28"/>
              </w:rPr>
              <w:t>研究方向</w:t>
            </w:r>
          </w:p>
        </w:tc>
        <w:tc>
          <w:tcPr>
            <w:tcW w:w="284" w:type="dxa"/>
            <w:tcBorders>
              <w:top w:val="nil"/>
              <w:left w:val="nil"/>
              <w:bottom w:val="nil"/>
              <w:right w:val="nil"/>
            </w:tcBorders>
            <w:vAlign w:val="center"/>
          </w:tcPr>
          <w:p>
            <w:pPr>
              <w:jc w:val="distribute"/>
              <w:rPr>
                <w:sz w:val="28"/>
                <w:szCs w:val="28"/>
              </w:rPr>
            </w:pPr>
            <w:r>
              <w:rPr>
                <w:rFonts w:hint="eastAsia"/>
                <w:sz w:val="28"/>
                <w:szCs w:val="28"/>
              </w:rPr>
              <w:t>：</w:t>
            </w:r>
          </w:p>
        </w:tc>
        <w:tc>
          <w:tcPr>
            <w:tcW w:w="3080" w:type="dxa"/>
            <w:gridSpan w:val="2"/>
            <w:tcBorders>
              <w:top w:val="nil"/>
              <w:left w:val="nil"/>
              <w:bottom w:val="nil"/>
              <w:right w:val="nil"/>
            </w:tcBorders>
            <w:vAlign w:val="center"/>
          </w:tcPr>
          <w:p>
            <w:pPr>
              <w:jc w:val="distribute"/>
              <w:rPr>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二〇XX年XX月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rPr>
                <w:rFonts w:ascii="黑体" w:hAnsi="黑体" w:eastAsia="黑体" w:cs="黑体"/>
                <w:sz w:val="32"/>
                <w:szCs w:val="32"/>
              </w:rPr>
            </w:pPr>
          </w:p>
        </w:tc>
      </w:tr>
    </w:tbl>
    <w:p/>
    <w:p>
      <w:pPr>
        <w:sectPr>
          <w:footerReference r:id="rId3" w:type="default"/>
          <w:pgSz w:w="11906" w:h="16838"/>
          <w:pgMar w:top="1417" w:right="1701" w:bottom="1417" w:left="1701" w:header="1134" w:footer="1134" w:gutter="0"/>
          <w:pgNumType w:fmt="upperRoman" w:start="1"/>
          <w:cols w:space="0" w:num="1"/>
          <w:rtlGutter w:val="0"/>
          <w:docGrid w:type="lines" w:linePitch="424" w:charSpace="0"/>
        </w:sectPr>
      </w:pPr>
    </w:p>
    <w:sdt>
      <w:sdtPr>
        <w:rPr>
          <w:rFonts w:ascii="宋体" w:hAnsi="宋体"/>
          <w:sz w:val="21"/>
        </w:rPr>
        <w:id w:val="147465431"/>
        <w15:color w:val="DBDBDB"/>
        <w:docPartObj>
          <w:docPartGallery w:val="Table of Contents"/>
          <w:docPartUnique/>
        </w:docPartObj>
      </w:sdtPr>
      <w:sdtEndPr>
        <w:rPr>
          <w:rFonts w:ascii="宋体" w:hAnsi="宋体"/>
          <w:sz w:val="21"/>
        </w:rPr>
      </w:sdtEndPr>
      <w:sdtContent>
        <w:p>
          <w:pPr>
            <w:jc w:val="center"/>
            <w:rPr>
              <w:rFonts w:eastAsia="黑体"/>
              <w:sz w:val="36"/>
              <w:szCs w:val="36"/>
            </w:rPr>
          </w:pPr>
          <w:r>
            <w:rPr>
              <w:rFonts w:hint="eastAsia" w:eastAsia="黑体"/>
              <w:sz w:val="36"/>
              <w:szCs w:val="36"/>
            </w:rPr>
            <w:t>目录</w:t>
          </w:r>
        </w:p>
        <w:p>
          <w:pPr>
            <w:pStyle w:val="15"/>
            <w:tabs>
              <w:tab w:val="right" w:leader="underscore" w:pos="8504"/>
              <w:tab w:val="clear" w:pos="8505"/>
            </w:tabs>
          </w:pPr>
          <w:r>
            <w:fldChar w:fldCharType="begin"/>
          </w:r>
          <w:r>
            <w:instrText xml:space="preserve">TOC \o "1-3" \h \u </w:instrText>
          </w:r>
          <w:r>
            <w:fldChar w:fldCharType="separate"/>
          </w:r>
          <w:r>
            <w:fldChar w:fldCharType="begin"/>
          </w:r>
          <w:r>
            <w:instrText xml:space="preserve"> HYPERLINK \l _Toc3370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_Toc3370 </w:instrText>
          </w:r>
          <w:r>
            <w:fldChar w:fldCharType="separate"/>
          </w:r>
          <w:r>
            <w:t>1</w:t>
          </w:r>
          <w:r>
            <w:fldChar w:fldCharType="end"/>
          </w:r>
          <w:r>
            <w:fldChar w:fldCharType="end"/>
          </w:r>
        </w:p>
        <w:p>
          <w:pPr>
            <w:pStyle w:val="16"/>
            <w:tabs>
              <w:tab w:val="right" w:leader="underscore" w:pos="8504"/>
              <w:tab w:val="clear" w:pos="8505"/>
            </w:tabs>
          </w:pPr>
          <w:r>
            <w:fldChar w:fldCharType="begin"/>
          </w:r>
          <w:r>
            <w:instrText xml:space="preserve"> HYPERLINK \l _Toc20214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_Toc20214 </w:instrText>
          </w:r>
          <w:r>
            <w:fldChar w:fldCharType="separate"/>
          </w:r>
          <w:r>
            <w:t>1</w:t>
          </w:r>
          <w:r>
            <w:fldChar w:fldCharType="end"/>
          </w:r>
          <w:r>
            <w:fldChar w:fldCharType="end"/>
          </w:r>
        </w:p>
        <w:p>
          <w:pPr>
            <w:pStyle w:val="15"/>
            <w:tabs>
              <w:tab w:val="right" w:leader="underscore" w:pos="8504"/>
              <w:tab w:val="clear" w:pos="8505"/>
            </w:tabs>
          </w:pPr>
          <w:r>
            <w:fldChar w:fldCharType="begin"/>
          </w:r>
          <w:r>
            <w:instrText xml:space="preserve"> HYPERLINK \l _Toc17159 </w:instrText>
          </w:r>
          <w:r>
            <w:fldChar w:fldCharType="separate"/>
          </w:r>
          <w:r>
            <w:rPr>
              <w:rFonts w:hint="default" w:ascii="宋体" w:hAnsi="宋体" w:eastAsia="宋体" w:cs="宋体"/>
              <w:szCs w:val="36"/>
            </w:rPr>
            <w:t xml:space="preserve">第2章 </w:t>
          </w:r>
          <w:r>
            <w:rPr>
              <w:rFonts w:hint="eastAsia"/>
            </w:rPr>
            <w:t>材料性能表征</w:t>
          </w:r>
          <w:r>
            <w:tab/>
          </w:r>
          <w:r>
            <w:fldChar w:fldCharType="begin"/>
          </w:r>
          <w:r>
            <w:instrText xml:space="preserve"> PAGEREF _Toc17159 </w:instrText>
          </w:r>
          <w:r>
            <w:fldChar w:fldCharType="separate"/>
          </w:r>
          <w:r>
            <w:t>2</w:t>
          </w:r>
          <w:r>
            <w:fldChar w:fldCharType="end"/>
          </w:r>
          <w:r>
            <w:fldChar w:fldCharType="end"/>
          </w:r>
        </w:p>
        <w:p>
          <w:pPr>
            <w:pStyle w:val="16"/>
            <w:tabs>
              <w:tab w:val="right" w:leader="underscore" w:pos="8504"/>
              <w:tab w:val="clear" w:pos="8505"/>
            </w:tabs>
          </w:pPr>
          <w:r>
            <w:fldChar w:fldCharType="begin"/>
          </w:r>
          <w:r>
            <w:instrText xml:space="preserve"> HYPERLINK \l _Toc21414 </w:instrText>
          </w:r>
          <w:r>
            <w:fldChar w:fldCharType="separate"/>
          </w:r>
          <w:r>
            <w:rPr>
              <w:rFonts w:hint="default" w:ascii="宋体" w:hAnsi="宋体" w:eastAsia="宋体" w:cs="宋体"/>
              <w:szCs w:val="30"/>
            </w:rPr>
            <w:t xml:space="preserve">2.1 </w:t>
          </w:r>
          <w:r>
            <w:rPr>
              <w:rFonts w:hint="eastAsia"/>
            </w:rPr>
            <w:t>CBC-PA复合材料的属性参数</w:t>
          </w:r>
          <w:r>
            <w:tab/>
          </w:r>
          <w:r>
            <w:fldChar w:fldCharType="begin"/>
          </w:r>
          <w:r>
            <w:instrText xml:space="preserve"> PAGEREF _Toc21414 </w:instrText>
          </w:r>
          <w:r>
            <w:fldChar w:fldCharType="separate"/>
          </w:r>
          <w:r>
            <w:t>2</w:t>
          </w:r>
          <w:r>
            <w:fldChar w:fldCharType="end"/>
          </w:r>
          <w:r>
            <w:fldChar w:fldCharType="end"/>
          </w:r>
        </w:p>
        <w:p>
          <w:pPr>
            <w:pStyle w:val="15"/>
            <w:tabs>
              <w:tab w:val="right" w:leader="underscore" w:pos="8504"/>
              <w:tab w:val="clear" w:pos="8505"/>
            </w:tabs>
          </w:pPr>
          <w:r>
            <w:fldChar w:fldCharType="begin"/>
          </w:r>
          <w:r>
            <w:instrText xml:space="preserve"> HYPERLINK \l _Toc20417 </w:instrText>
          </w:r>
          <w:r>
            <w:fldChar w:fldCharType="separate"/>
          </w:r>
          <w:r>
            <w:rPr>
              <w:rFonts w:hint="default" w:ascii="宋体" w:hAnsi="宋体" w:eastAsia="宋体" w:cs="宋体"/>
              <w:szCs w:val="36"/>
            </w:rPr>
            <w:t xml:space="preserve">第3章 </w:t>
          </w:r>
          <w:r>
            <w:rPr>
              <w:rFonts w:hint="eastAsia"/>
            </w:rPr>
            <w:t>烧蚀行为的数学模型</w:t>
          </w:r>
          <w:r>
            <w:tab/>
          </w:r>
          <w:r>
            <w:fldChar w:fldCharType="begin"/>
          </w:r>
          <w:r>
            <w:instrText xml:space="preserve"> PAGEREF _Toc20417 </w:instrText>
          </w:r>
          <w:r>
            <w:fldChar w:fldCharType="separate"/>
          </w:r>
          <w:r>
            <w:t>3</w:t>
          </w:r>
          <w:r>
            <w:fldChar w:fldCharType="end"/>
          </w:r>
          <w:r>
            <w:fldChar w:fldCharType="end"/>
          </w:r>
        </w:p>
        <w:p>
          <w:pPr>
            <w:pStyle w:val="16"/>
            <w:tabs>
              <w:tab w:val="right" w:leader="underscore" w:pos="8504"/>
              <w:tab w:val="clear" w:pos="8505"/>
            </w:tabs>
          </w:pPr>
          <w:r>
            <w:fldChar w:fldCharType="begin"/>
          </w:r>
          <w:r>
            <w:instrText xml:space="preserve"> HYPERLINK \l _Toc13367 </w:instrText>
          </w:r>
          <w:r>
            <w:fldChar w:fldCharType="separate"/>
          </w:r>
          <w:r>
            <w:rPr>
              <w:rFonts w:hint="default" w:ascii="宋体" w:hAnsi="宋体" w:eastAsia="宋体" w:cs="宋体"/>
              <w:szCs w:val="30"/>
            </w:rPr>
            <w:t xml:space="preserve">3.1 </w:t>
          </w:r>
          <w:r>
            <w:rPr>
              <w:rFonts w:hint="eastAsia"/>
            </w:rPr>
            <w:t>体积烧蚀的控制方程</w:t>
          </w:r>
          <w:r>
            <w:tab/>
          </w:r>
          <w:r>
            <w:fldChar w:fldCharType="begin"/>
          </w:r>
          <w:r>
            <w:instrText xml:space="preserve"> PAGEREF _Toc13367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_Toc5238 </w:instrText>
          </w:r>
          <w:r>
            <w:fldChar w:fldCharType="separate"/>
          </w:r>
          <w:r>
            <w:rPr>
              <w:rFonts w:hint="default" w:ascii="宋体" w:hAnsi="宋体" w:eastAsia="宋体" w:cs="宋体"/>
              <w:szCs w:val="28"/>
            </w:rPr>
            <w:t xml:space="preserve">3.1.1 </w:t>
          </w:r>
          <w:r>
            <w:rPr>
              <w:rFonts w:hint="eastAsia"/>
            </w:rPr>
            <w:t>材料参数插值模型</w:t>
          </w:r>
          <w:r>
            <w:tab/>
          </w:r>
          <w:r>
            <w:fldChar w:fldCharType="begin"/>
          </w:r>
          <w:r>
            <w:instrText xml:space="preserve"> PAGEREF _Toc5238 </w:instrText>
          </w:r>
          <w:r>
            <w:fldChar w:fldCharType="separate"/>
          </w:r>
          <w:r>
            <w:t>3</w:t>
          </w:r>
          <w:r>
            <w:fldChar w:fldCharType="end"/>
          </w:r>
          <w:r>
            <w:fldChar w:fldCharType="end"/>
          </w:r>
        </w:p>
        <w:p>
          <w:pPr>
            <w:pStyle w:val="12"/>
            <w:tabs>
              <w:tab w:val="right" w:leader="underscore" w:pos="8504"/>
              <w:tab w:val="clear" w:pos="8505"/>
            </w:tabs>
          </w:pPr>
          <w:r>
            <w:fldChar w:fldCharType="begin"/>
          </w:r>
          <w:r>
            <w:instrText xml:space="preserve"> HYPERLINK \l _Toc17158 </w:instrText>
          </w:r>
          <w:r>
            <w:fldChar w:fldCharType="separate"/>
          </w:r>
          <w:r>
            <w:rPr>
              <w:rFonts w:hint="default" w:ascii="宋体" w:hAnsi="宋体" w:eastAsia="宋体" w:cs="宋体"/>
              <w:szCs w:val="28"/>
            </w:rPr>
            <w:t xml:space="preserve">3.1.2 </w:t>
          </w:r>
          <w:r>
            <w:t>热分解动力学模型</w:t>
          </w:r>
          <w:r>
            <w:tab/>
          </w:r>
          <w:r>
            <w:fldChar w:fldCharType="begin"/>
          </w:r>
          <w:r>
            <w:instrText xml:space="preserve"> PAGEREF _Toc17158 </w:instrText>
          </w:r>
          <w:r>
            <w:fldChar w:fldCharType="separate"/>
          </w:r>
          <w:r>
            <w:t>3</w:t>
          </w:r>
          <w:r>
            <w:fldChar w:fldCharType="end"/>
          </w:r>
          <w:r>
            <w:fldChar w:fldCharType="end"/>
          </w:r>
        </w:p>
        <w:p>
          <w:pPr>
            <w:pStyle w:val="15"/>
            <w:tabs>
              <w:tab w:val="right" w:leader="underscore" w:pos="8504"/>
              <w:tab w:val="clear" w:pos="8505"/>
            </w:tabs>
          </w:pPr>
          <w:r>
            <w:fldChar w:fldCharType="begin"/>
          </w:r>
          <w:r>
            <w:instrText xml:space="preserve"> HYPERLINK \l _Toc8411 </w:instrText>
          </w:r>
          <w:r>
            <w:fldChar w:fldCharType="separate"/>
          </w:r>
          <w:r>
            <w:rPr>
              <w:rFonts w:hint="default" w:ascii="宋体" w:hAnsi="宋体" w:eastAsia="宋体" w:cs="宋体"/>
              <w:szCs w:val="36"/>
            </w:rPr>
            <w:t xml:space="preserve">第4章 </w:t>
          </w:r>
          <w:r>
            <w:rPr>
              <w:rFonts w:hint="eastAsia"/>
            </w:rPr>
            <w:t>烧蚀和热响应的数值仿真</w:t>
          </w:r>
          <w:r>
            <w:tab/>
          </w:r>
          <w:r>
            <w:fldChar w:fldCharType="begin"/>
          </w:r>
          <w:r>
            <w:instrText xml:space="preserve"> PAGEREF _Toc8411 </w:instrText>
          </w:r>
          <w:r>
            <w:fldChar w:fldCharType="separate"/>
          </w:r>
          <w:r>
            <w:t>4</w:t>
          </w:r>
          <w:r>
            <w:fldChar w:fldCharType="end"/>
          </w:r>
          <w:r>
            <w:fldChar w:fldCharType="end"/>
          </w:r>
        </w:p>
        <w:p>
          <w:pPr>
            <w:pStyle w:val="16"/>
            <w:tabs>
              <w:tab w:val="right" w:leader="underscore" w:pos="8504"/>
              <w:tab w:val="clear" w:pos="8505"/>
            </w:tabs>
          </w:pPr>
          <w:r>
            <w:fldChar w:fldCharType="begin"/>
          </w:r>
          <w:r>
            <w:instrText xml:space="preserve"> HYPERLINK \l _Toc1156 </w:instrText>
          </w:r>
          <w:r>
            <w:fldChar w:fldCharType="separate"/>
          </w:r>
          <w:r>
            <w:rPr>
              <w:rFonts w:hint="default" w:ascii="宋体" w:hAnsi="宋体" w:eastAsia="宋体" w:cs="宋体"/>
              <w:szCs w:val="30"/>
            </w:rPr>
            <w:t xml:space="preserve">4.1 </w:t>
          </w:r>
          <w:r>
            <w:rPr>
              <w:rFonts w:hint="eastAsia"/>
            </w:rPr>
            <w:t>CBC-PA复合材料的算例分析</w:t>
          </w:r>
          <w:r>
            <w:tab/>
          </w:r>
          <w:r>
            <w:fldChar w:fldCharType="begin"/>
          </w:r>
          <w:r>
            <w:instrText xml:space="preserve"> PAGEREF _Toc1156 </w:instrText>
          </w:r>
          <w:r>
            <w:fldChar w:fldCharType="separate"/>
          </w:r>
          <w:r>
            <w:t>4</w:t>
          </w:r>
          <w:r>
            <w:fldChar w:fldCharType="end"/>
          </w:r>
          <w:r>
            <w:fldChar w:fldCharType="end"/>
          </w:r>
        </w:p>
        <w:p>
          <w:pPr>
            <w:pStyle w:val="15"/>
            <w:tabs>
              <w:tab w:val="right" w:leader="underscore" w:pos="8504"/>
              <w:tab w:val="clear" w:pos="8505"/>
            </w:tabs>
          </w:pPr>
          <w:r>
            <w:fldChar w:fldCharType="begin"/>
          </w:r>
          <w:r>
            <w:instrText xml:space="preserve"> HYPERLINK \l _Toc29952 </w:instrText>
          </w:r>
          <w:r>
            <w:fldChar w:fldCharType="separate"/>
          </w:r>
          <w:r>
            <w:rPr>
              <w:rFonts w:hint="eastAsia" w:eastAsia="黑体"/>
              <w:szCs w:val="36"/>
            </w:rPr>
            <w:t>参考文献</w:t>
          </w:r>
          <w:r>
            <w:tab/>
          </w:r>
          <w:r>
            <w:fldChar w:fldCharType="begin"/>
          </w:r>
          <w:r>
            <w:instrText xml:space="preserve"> PAGEREF _Toc29952 </w:instrText>
          </w:r>
          <w:r>
            <w:fldChar w:fldCharType="separate"/>
          </w:r>
          <w:r>
            <w:t>1</w:t>
          </w:r>
          <w:r>
            <w:fldChar w:fldCharType="end"/>
          </w:r>
          <w:r>
            <w:fldChar w:fldCharType="end"/>
          </w:r>
        </w:p>
        <w:p>
          <w:r>
            <w:fldChar w:fldCharType="end"/>
          </w:r>
        </w:p>
      </w:sdtContent>
    </w:sdt>
    <w:p>
      <w:pPr>
        <w:pStyle w:val="2"/>
        <w:spacing w:before="432" w:after="432"/>
        <w:sectPr>
          <w:headerReference r:id="rId4" w:type="default"/>
          <w:pgSz w:w="11906" w:h="16838"/>
          <w:pgMar w:top="1417" w:right="1701" w:bottom="1417" w:left="1701" w:header="1134" w:footer="1134" w:gutter="0"/>
          <w:pgNumType w:fmt="upperRoman"/>
          <w:cols w:space="0" w:num="1"/>
          <w:rtlGutter w:val="0"/>
          <w:docGrid w:type="lines" w:linePitch="424" w:charSpace="0"/>
        </w:sectPr>
      </w:pPr>
    </w:p>
    <w:p>
      <w:pPr>
        <w:pStyle w:val="2"/>
        <w:spacing w:before="432" w:after="432"/>
      </w:pPr>
      <w:bookmarkStart w:id="0" w:name="_Toc3370"/>
      <w:r>
        <w:rPr>
          <w:rFonts w:hint="eastAsia"/>
        </w:rPr>
        <w:t>绪</w:t>
      </w:r>
      <w:bookmarkStart w:id="19" w:name="_GoBack"/>
      <w:bookmarkEnd w:id="19"/>
      <w:r>
        <w:rPr>
          <w:rFonts w:hint="eastAsia"/>
        </w:rPr>
        <w:t>论</w:t>
      </w:r>
      <w:bookmarkEnd w:id="0"/>
    </w:p>
    <w:p>
      <w:pPr>
        <w:pStyle w:val="3"/>
        <w:spacing w:before="216" w:after="216"/>
      </w:pPr>
      <w:bookmarkStart w:id="1" w:name="_Toc20214"/>
      <w:r>
        <w:rPr>
          <w:rFonts w:hint="eastAsia"/>
        </w:rPr>
        <w:t>课题背景及研究的目的和意义</w:t>
      </w:r>
      <w:bookmarkEnd w:id="1"/>
    </w:p>
    <w:p>
      <w:pPr>
        <w:ind w:firstLine="480" w:firstLineChars="200"/>
      </w:pPr>
      <w:r>
        <w:rPr>
          <w:rFonts w:hint="eastAsia"/>
        </w:rPr>
        <w:t>本世纪初，各航天强国相继出台了大规模深空探测战略规划，将探月和远地行星探索作为重点发展航天领域，返回器再入技术愈发成为前沿研究热点</w:t>
      </w:r>
      <w:r>
        <w:rPr>
          <w:rFonts w:hint="eastAsia"/>
          <w:vertAlign w:val="superscript"/>
        </w:rPr>
        <w:fldChar w:fldCharType="begin"/>
      </w:r>
      <w:r>
        <w:rPr>
          <w:rFonts w:hint="eastAsia"/>
          <w:vertAlign w:val="superscript"/>
        </w:rPr>
        <w:instrText xml:space="preserve"> REF _Ref5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rPr>
        <w:fldChar w:fldCharType="begin"/>
      </w:r>
      <w:r>
        <w:rPr>
          <w:rFonts w:hint="eastAsia"/>
          <w:vertAlign w:val="superscript"/>
        </w:rPr>
        <w:instrText xml:space="preserve"> REF _Ref246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。因此，深空探测返回器防热结构设计问题显得尤为突出。</w:t>
      </w:r>
    </w:p>
    <w:p>
      <w:pPr>
        <w:ind w:firstLine="480" w:firstLineChars="200"/>
      </w:pPr>
      <w:r>
        <w:rPr>
          <w:rFonts w:hint="eastAsia"/>
        </w:rPr>
        <w:t>热防护系统旨在保障航天器在恶劣环境中正常服役，其选材方案有烧蚀型和非烧蚀型两种类别。鉴于航天飞机可重复使用防/隔热瓦在实际应用中事故频发，美俄等国的宇宙飞船纷纷重回更为可靠的烧蚀型防热结构设计，我国“神舟”系列载人飞船亦是采用了全烧蚀材料方案</w:t>
      </w:r>
      <w:r>
        <w:rPr>
          <w:rFonts w:hint="eastAsia"/>
          <w:vertAlign w:val="superscript"/>
        </w:rPr>
        <w:fldChar w:fldCharType="begin"/>
      </w:r>
      <w:r>
        <w:rPr>
          <w:rFonts w:hint="eastAsia"/>
          <w:vertAlign w:val="superscript"/>
        </w:rPr>
        <w:instrText xml:space="preserve"> REF _Ref351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。国内外热防护技术的实践经验和发展趋势表明，高气流焓值、中高热流密度、低驻点压力和长再入时间的服役条件下，烧蚀防热结构仍将是满足升力再入钝头体返回器热防护系统设计技术要求的首选方案</w:t>
      </w:r>
      <w:r>
        <w:rPr>
          <w:rFonts w:hint="eastAsia"/>
          <w:vertAlign w:val="superscript"/>
        </w:rPr>
        <w:fldChar w:fldCharType="begin"/>
      </w:r>
      <w:r>
        <w:rPr>
          <w:rFonts w:hint="eastAsia"/>
          <w:vertAlign w:val="superscript"/>
        </w:rPr>
        <w:instrText xml:space="preserve"> REF _Ref416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。低成本和高比效的轻量化航天器设计已成必然趋势，因此各国都不遗余力地发展新型轻质烧蚀型热防护材料</w:t>
      </w:r>
      <w:r>
        <w:rPr>
          <w:rFonts w:hint="eastAsia"/>
          <w:vertAlign w:val="superscript"/>
        </w:rPr>
        <w:fldChar w:fldCharType="begin"/>
      </w:r>
      <w:r>
        <w:rPr>
          <w:rFonts w:hint="eastAsia"/>
          <w:vertAlign w:val="superscript"/>
        </w:rPr>
        <w:instrText xml:space="preserve"> REF _Ref455 \r \h </w:instrText>
      </w:r>
      <w:r>
        <w:rPr>
          <w:rFonts w:hint="eastAsia"/>
          <w:vertAlign w:val="superscript"/>
        </w:rPr>
        <w:fldChar w:fldCharType="separate"/>
      </w:r>
      <w:r>
        <w:rPr>
          <w:rFonts w:hint="eastAsia"/>
          <w:vertAlign w:val="superscript"/>
        </w:rPr>
        <w:t>[5]</w:t>
      </w:r>
      <w:r>
        <w:rPr>
          <w:rFonts w:hint="eastAsia"/>
          <w:vertAlign w:val="superscript"/>
        </w:rPr>
        <w:fldChar w:fldCharType="end"/>
      </w:r>
      <w:r>
        <w:rPr>
          <w:rFonts w:hint="eastAsia"/>
        </w:rPr>
        <w:t>。我国的航天器再入技术由神舟飞船和返回式卫星等近地轨道航天器的成功回收基础之上发展而来，已有经验尚不能完全满足深空探测返回器的轻质化防热结构设计要求。</w:t>
      </w:r>
    </w:p>
    <w:p>
      <w:pPr>
        <w:ind w:firstLine="480" w:firstLineChars="200"/>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keepNext/>
        <w:keepLines/>
        <w:pageBreakBefore/>
        <w:widowControl w:val="0"/>
        <w:kinsoku/>
        <w:wordWrap/>
        <w:overflowPunct/>
        <w:topLinePunct w:val="0"/>
        <w:autoSpaceDE/>
        <w:autoSpaceDN/>
        <w:bidi w:val="0"/>
        <w:adjustRightInd/>
        <w:snapToGrid/>
        <w:spacing w:before="432" w:after="432"/>
        <w:ind w:left="431" w:hanging="431"/>
        <w:textAlignment w:val="auto"/>
      </w:pPr>
      <w:bookmarkStart w:id="2" w:name="_Toc17159"/>
      <w:r>
        <w:rPr>
          <w:rFonts w:hint="eastAsia"/>
        </w:rPr>
        <w:t>材料性能表征</w:t>
      </w:r>
      <w:bookmarkEnd w:id="2"/>
    </w:p>
    <w:p>
      <w:pPr>
        <w:pStyle w:val="3"/>
        <w:spacing w:before="216" w:after="216"/>
      </w:pPr>
      <w:bookmarkStart w:id="3" w:name="_Toc21414"/>
      <w:r>
        <w:rPr>
          <w:rFonts w:hint="eastAsia"/>
        </w:rPr>
        <w:t>CBC-PA复合材料的属性参数</w:t>
      </w:r>
      <w:bookmarkEnd w:id="3"/>
    </w:p>
    <w:p>
      <w:pPr>
        <w:ind w:firstLine="480" w:firstLineChars="200"/>
      </w:pPr>
      <w:r>
        <w:rPr>
          <w:rFonts w:hint="eastAsia"/>
        </w:rPr>
        <w:t>通过调整酚醛树脂前驱体溶液组分配比可得不同性质的酚醛树脂气凝胶（PA），典型PA均具有极低的体积密度（0.136~0.143g/cm</w:t>
      </w:r>
      <w:r>
        <w:rPr>
          <w:rFonts w:hint="eastAsia"/>
          <w:vertAlign w:val="superscript"/>
        </w:rPr>
        <w:t>3</w:t>
      </w:r>
      <w:r>
        <w:rPr>
          <w:rFonts w:hint="eastAsia"/>
        </w:rPr>
        <w:t>）、纳米尺度孔径（4.88~5.85nm）和极高的孔隙度（85.9~86.5%），且导热系数较低（约为0.2W/(m∙K)）。通过调整原料含量配比和改变压滤成型工艺参数可得不同性质的短切碳纤维碳粘接骨架（CBC），典型CBC具有极低的体积密度（0.118~0.227g/cm</w:t>
      </w:r>
      <w:r>
        <w:rPr>
          <w:rFonts w:hint="eastAsia"/>
          <w:vertAlign w:val="superscript"/>
        </w:rPr>
        <w:t>3</w:t>
      </w:r>
      <w:r>
        <w:rPr>
          <w:rFonts w:hint="eastAsia"/>
        </w:rPr>
        <w:t>）和极高的孔隙度（85.8~92.6%），孔隙度随体积密度提高而降低。</w:t>
      </w:r>
    </w:p>
    <w:p>
      <w:pPr>
        <w:ind w:firstLine="480" w:firstLineChars="200"/>
        <w:rPr>
          <w:rFonts w:ascii="Arial" w:hAnsi="Arial"/>
        </w:rPr>
      </w:pPr>
      <w:r>
        <w:rPr>
          <w:rFonts w:hint="eastAsia"/>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rPr>
        <w:t>3</w:t>
      </w:r>
      <w:r>
        <w:rPr>
          <w:rFonts w:hint="eastAsia"/>
        </w:rPr>
        <w:t>），极高的孔隙度（75.9~81.9%）。</w:t>
      </w:r>
    </w:p>
    <w:p>
      <w:pPr>
        <w:pStyle w:val="11"/>
      </w:pPr>
      <w:r>
        <w:rPr>
          <w:rFonts w:hint="eastAsia"/>
        </w:rPr>
        <w:t>表2-1 CBC-PA复合材料的材料参数</w:t>
      </w:r>
    </w:p>
    <w:tbl>
      <w:tblPr>
        <w:tblStyle w:val="18"/>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2"/>
        <w:gridCol w:w="1232"/>
        <w:gridCol w:w="2000"/>
        <w:gridCol w:w="1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bottom w:val="single" w:color="auto" w:sz="4" w:space="0"/>
            </w:tcBorders>
            <w:vAlign w:val="center"/>
          </w:tcPr>
          <w:p>
            <w:pPr>
              <w:pStyle w:val="21"/>
            </w:pPr>
            <w:r>
              <w:rPr>
                <w:rFonts w:hint="eastAsia"/>
              </w:rPr>
              <w:t>材料CBC-PA</w:t>
            </w:r>
          </w:p>
        </w:tc>
        <w:tc>
          <w:tcPr>
            <w:tcW w:w="0" w:type="auto"/>
            <w:tcBorders>
              <w:bottom w:val="single" w:color="auto" w:sz="4" w:space="0"/>
            </w:tcBorders>
            <w:vAlign w:val="center"/>
          </w:tcPr>
          <w:p>
            <w:pPr>
              <w:pStyle w:val="21"/>
            </w:pPr>
            <w:r>
              <w:rPr>
                <w:rFonts w:hint="eastAsia"/>
              </w:rPr>
              <w:t>体积密度g/cm3</w:t>
            </w:r>
          </w:p>
        </w:tc>
        <w:tc>
          <w:tcPr>
            <w:tcW w:w="0" w:type="auto"/>
            <w:tcBorders>
              <w:bottom w:val="single" w:color="auto" w:sz="4" w:space="0"/>
            </w:tcBorders>
            <w:vAlign w:val="center"/>
          </w:tcPr>
          <w:p>
            <w:pPr>
              <w:pStyle w:val="21"/>
            </w:pPr>
            <w:r>
              <w:rPr>
                <w:rFonts w:hint="eastAsia"/>
              </w:rPr>
              <w:t>孔隙度%</w:t>
            </w:r>
          </w:p>
        </w:tc>
        <w:tc>
          <w:tcPr>
            <w:tcW w:w="0" w:type="auto"/>
            <w:tcBorders>
              <w:bottom w:val="single" w:color="auto" w:sz="4" w:space="0"/>
            </w:tcBorders>
            <w:vAlign w:val="center"/>
          </w:tcPr>
          <w:p>
            <w:pPr>
              <w:pStyle w:val="21"/>
            </w:pPr>
            <w:r>
              <w:rPr>
                <w:rFonts w:hint="eastAsia"/>
              </w:rPr>
              <w:t>CBC含量vol.%</w:t>
            </w:r>
          </w:p>
        </w:tc>
        <w:tc>
          <w:tcPr>
            <w:tcW w:w="0" w:type="auto"/>
            <w:tcBorders>
              <w:bottom w:val="single" w:color="auto" w:sz="4" w:space="0"/>
            </w:tcBorders>
            <w:vAlign w:val="center"/>
          </w:tcPr>
          <w:p>
            <w:pPr>
              <w:pStyle w:val="21"/>
            </w:pPr>
            <w:r>
              <w:rPr>
                <w:rFonts w:hint="eastAsia"/>
              </w:rPr>
              <w:t>PA含量vol.%</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1</w:t>
            </w:r>
          </w:p>
        </w:tc>
        <w:tc>
          <w:tcPr>
            <w:tcW w:w="0" w:type="auto"/>
            <w:tcBorders>
              <w:top w:val="single" w:color="auto" w:sz="4" w:space="0"/>
              <w:tl2br w:val="nil"/>
              <w:tr2bl w:val="nil"/>
            </w:tcBorders>
            <w:vAlign w:val="center"/>
          </w:tcPr>
          <w:p>
            <w:pPr>
              <w:pStyle w:val="21"/>
            </w:pPr>
            <w:r>
              <w:t>0.247</w:t>
            </w:r>
          </w:p>
        </w:tc>
        <w:tc>
          <w:tcPr>
            <w:tcW w:w="0" w:type="auto"/>
            <w:tcBorders>
              <w:top w:val="single" w:color="auto" w:sz="4" w:space="0"/>
              <w:tl2br w:val="nil"/>
              <w:tr2bl w:val="nil"/>
            </w:tcBorders>
            <w:vAlign w:val="center"/>
          </w:tcPr>
          <w:p>
            <w:pPr>
              <w:pStyle w:val="21"/>
            </w:pPr>
            <w:r>
              <w:t>81.9</w:t>
            </w:r>
          </w:p>
        </w:tc>
        <w:tc>
          <w:tcPr>
            <w:tcW w:w="0" w:type="auto"/>
            <w:tcBorders>
              <w:top w:val="single" w:color="auto" w:sz="4" w:space="0"/>
              <w:tl2br w:val="nil"/>
              <w:tr2bl w:val="nil"/>
            </w:tcBorders>
            <w:vAlign w:val="center"/>
          </w:tcPr>
          <w:p>
            <w:pPr>
              <w:pStyle w:val="21"/>
            </w:pPr>
            <w:r>
              <w:t>7.40</w:t>
            </w:r>
          </w:p>
        </w:tc>
        <w:tc>
          <w:tcPr>
            <w:tcW w:w="0" w:type="auto"/>
            <w:tcBorders>
              <w:top w:val="single" w:color="auto" w:sz="4" w:space="0"/>
              <w:tl2br w:val="nil"/>
              <w:tr2bl w:val="nil"/>
            </w:tcBorders>
            <w:vAlign w:val="center"/>
          </w:tcPr>
          <w:p>
            <w:pPr>
              <w:pStyle w:val="21"/>
            </w:pPr>
            <w:r>
              <w:t>10.70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0.288</w:t>
            </w:r>
          </w:p>
        </w:tc>
        <w:tc>
          <w:tcPr>
            <w:tcW w:w="0" w:type="auto"/>
            <w:tcBorders>
              <w:tl2br w:val="nil"/>
              <w:tr2bl w:val="nil"/>
            </w:tcBorders>
            <w:vAlign w:val="center"/>
          </w:tcPr>
          <w:p>
            <w:pPr>
              <w:pStyle w:val="21"/>
            </w:pPr>
            <w:r>
              <w:t>79.4</w:t>
            </w:r>
          </w:p>
        </w:tc>
        <w:tc>
          <w:tcPr>
            <w:tcW w:w="0" w:type="auto"/>
            <w:tcBorders>
              <w:tl2br w:val="nil"/>
              <w:tr2bl w:val="nil"/>
            </w:tcBorders>
            <w:vAlign w:val="center"/>
          </w:tcPr>
          <w:p>
            <w:pPr>
              <w:pStyle w:val="21"/>
            </w:pPr>
            <w:r>
              <w:t>10.20</w:t>
            </w:r>
          </w:p>
        </w:tc>
        <w:tc>
          <w:tcPr>
            <w:tcW w:w="0" w:type="auto"/>
            <w:tcBorders>
              <w:tl2br w:val="nil"/>
              <w:tr2bl w:val="nil"/>
            </w:tcBorders>
            <w:vAlign w:val="center"/>
          </w:tcPr>
          <w:p>
            <w:pPr>
              <w:pStyle w:val="21"/>
            </w:pPr>
            <w:r>
              <w:t>10.40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bottom w:val="single" w:color="auto" w:sz="4" w:space="0"/>
            </w:tcBorders>
            <w:vAlign w:val="center"/>
          </w:tcPr>
          <w:p>
            <w:pPr>
              <w:pStyle w:val="21"/>
            </w:pPr>
            <w:r>
              <w:t>CBC-PA</w:t>
            </w:r>
            <w:r>
              <w:rPr>
                <w:rFonts w:hint="eastAsia"/>
              </w:rPr>
              <w:t>2</w:t>
            </w:r>
          </w:p>
        </w:tc>
        <w:tc>
          <w:tcPr>
            <w:tcW w:w="0" w:type="auto"/>
            <w:tcBorders>
              <w:tl2br w:val="nil"/>
              <w:tr2bl w:val="nil"/>
            </w:tcBorders>
            <w:vAlign w:val="center"/>
          </w:tcPr>
          <w:p>
            <w:pPr>
              <w:pStyle w:val="21"/>
            </w:pPr>
            <w:r>
              <w:t>0.312</w:t>
            </w:r>
          </w:p>
        </w:tc>
        <w:tc>
          <w:tcPr>
            <w:tcW w:w="0" w:type="auto"/>
            <w:tcBorders>
              <w:tl2br w:val="nil"/>
              <w:tr2bl w:val="nil"/>
            </w:tcBorders>
            <w:vAlign w:val="center"/>
          </w:tcPr>
          <w:p>
            <w:pPr>
              <w:pStyle w:val="21"/>
            </w:pPr>
            <w:r>
              <w:t>78.0</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op w:val="single" w:color="auto" w:sz="4" w:space="0"/>
              <w:bottom w:val="single" w:color="auto" w:sz="4" w:space="0"/>
            </w:tcBorders>
            <w:vAlign w:val="center"/>
          </w:tcPr>
          <w:p>
            <w:pPr>
              <w:pStyle w:val="21"/>
            </w:pPr>
          </w:p>
        </w:tc>
        <w:tc>
          <w:tcPr>
            <w:tcW w:w="0" w:type="auto"/>
            <w:tcBorders>
              <w:tl2br w:val="nil"/>
              <w:tr2bl w:val="nil"/>
            </w:tcBorders>
            <w:vAlign w:val="center"/>
          </w:tcPr>
          <w:p>
            <w:pPr>
              <w:pStyle w:val="21"/>
            </w:pPr>
            <w:r>
              <w:t>0.314</w:t>
            </w:r>
          </w:p>
        </w:tc>
        <w:tc>
          <w:tcPr>
            <w:tcW w:w="0" w:type="auto"/>
            <w:tcBorders>
              <w:tl2br w:val="nil"/>
              <w:tr2bl w:val="nil"/>
            </w:tcBorders>
            <w:vAlign w:val="center"/>
          </w:tcPr>
          <w:p>
            <w:pPr>
              <w:pStyle w:val="21"/>
            </w:pPr>
            <w:r>
              <w:t>77.8</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restart"/>
            <w:tcBorders>
              <w:top w:val="single" w:color="auto" w:sz="4" w:space="0"/>
            </w:tcBorders>
            <w:vAlign w:val="center"/>
          </w:tcPr>
          <w:p>
            <w:pPr>
              <w:pStyle w:val="21"/>
            </w:pPr>
            <w:r>
              <w:t>CBC-PA</w:t>
            </w:r>
            <w:r>
              <w:rPr>
                <w:rFonts w:hint="eastAsia"/>
              </w:rPr>
              <w:t>3</w:t>
            </w:r>
          </w:p>
        </w:tc>
        <w:tc>
          <w:tcPr>
            <w:tcW w:w="0" w:type="auto"/>
            <w:tcBorders>
              <w:tl2br w:val="nil"/>
              <w:tr2bl w:val="nil"/>
            </w:tcBorders>
            <w:vAlign w:val="center"/>
          </w:tcPr>
          <w:p>
            <w:pPr>
              <w:pStyle w:val="21"/>
            </w:pPr>
            <w:r>
              <w:t>0.319</w:t>
            </w:r>
          </w:p>
        </w:tc>
        <w:tc>
          <w:tcPr>
            <w:tcW w:w="0" w:type="auto"/>
            <w:tcBorders>
              <w:tl2br w:val="nil"/>
              <w:tr2bl w:val="nil"/>
            </w:tcBorders>
            <w:vAlign w:val="center"/>
          </w:tcPr>
          <w:p>
            <w:pPr>
              <w:pStyle w:val="21"/>
            </w:pPr>
            <w:r>
              <w:t>77.4</w:t>
            </w:r>
          </w:p>
        </w:tc>
        <w:tc>
          <w:tcPr>
            <w:tcW w:w="0" w:type="auto"/>
            <w:tcBorders>
              <w:tl2br w:val="nil"/>
              <w:tr2bl w:val="nil"/>
            </w:tcBorders>
            <w:vAlign w:val="center"/>
          </w:tcPr>
          <w:p>
            <w:pPr>
              <w:pStyle w:val="21"/>
            </w:pPr>
            <w:r>
              <w:t>12.00</w:t>
            </w:r>
          </w:p>
        </w:tc>
        <w:tc>
          <w:tcPr>
            <w:tcW w:w="0" w:type="auto"/>
            <w:tcBorders>
              <w:tl2br w:val="nil"/>
              <w:tr2bl w:val="nil"/>
            </w:tcBorders>
            <w:vAlign w:val="center"/>
          </w:tcPr>
          <w:p>
            <w:pPr>
              <w:pStyle w:val="21"/>
            </w:pPr>
            <w:r>
              <w:t>10.60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Merge w:val="continue"/>
            <w:tcBorders>
              <w:tl2br w:val="nil"/>
              <w:tr2bl w:val="nil"/>
            </w:tcBorders>
            <w:vAlign w:val="center"/>
          </w:tcPr>
          <w:p>
            <w:pPr>
              <w:pStyle w:val="21"/>
            </w:pPr>
          </w:p>
        </w:tc>
        <w:tc>
          <w:tcPr>
            <w:tcW w:w="0" w:type="auto"/>
            <w:tcBorders>
              <w:tl2br w:val="nil"/>
              <w:tr2bl w:val="nil"/>
            </w:tcBorders>
            <w:vAlign w:val="center"/>
          </w:tcPr>
          <w:p>
            <w:pPr>
              <w:pStyle w:val="21"/>
            </w:pPr>
            <w:r>
              <w:t>0.346</w:t>
            </w:r>
          </w:p>
        </w:tc>
        <w:tc>
          <w:tcPr>
            <w:tcW w:w="0" w:type="auto"/>
            <w:tcBorders>
              <w:tl2br w:val="nil"/>
              <w:tr2bl w:val="nil"/>
            </w:tcBorders>
            <w:vAlign w:val="center"/>
          </w:tcPr>
          <w:p>
            <w:pPr>
              <w:pStyle w:val="21"/>
            </w:pPr>
            <w:r>
              <w:t>75.9</w:t>
            </w:r>
          </w:p>
        </w:tc>
        <w:tc>
          <w:tcPr>
            <w:tcW w:w="0" w:type="auto"/>
            <w:tcBorders>
              <w:tl2br w:val="nil"/>
              <w:tr2bl w:val="nil"/>
            </w:tcBorders>
            <w:vAlign w:val="center"/>
          </w:tcPr>
          <w:p>
            <w:pPr>
              <w:pStyle w:val="21"/>
            </w:pPr>
            <w:r>
              <w:t>14.20</w:t>
            </w:r>
          </w:p>
        </w:tc>
        <w:tc>
          <w:tcPr>
            <w:tcW w:w="0" w:type="auto"/>
            <w:tcBorders>
              <w:tl2br w:val="nil"/>
              <w:tr2bl w:val="nil"/>
            </w:tcBorders>
            <w:vAlign w:val="center"/>
          </w:tcPr>
          <w:p>
            <w:pPr>
              <w:pStyle w:val="21"/>
            </w:pPr>
            <w:r>
              <w:t>9.90</w:t>
            </w:r>
          </w:p>
        </w:tc>
      </w:tr>
    </w:tbl>
    <w:p>
      <w:pPr>
        <w:pStyle w:val="2"/>
        <w:pageBreakBefore/>
        <w:spacing w:before="432" w:after="432"/>
        <w:ind w:left="431" w:hanging="431"/>
      </w:pPr>
      <w:bookmarkStart w:id="4" w:name="_Toc20417"/>
      <w:r>
        <w:rPr>
          <w:rFonts w:hint="eastAsia"/>
        </w:rPr>
        <w:t>烧蚀行为的数学模型</w:t>
      </w:r>
      <w:bookmarkEnd w:id="4"/>
    </w:p>
    <w:p>
      <w:pPr>
        <w:pStyle w:val="3"/>
        <w:spacing w:before="216" w:after="216"/>
      </w:pPr>
      <w:bookmarkStart w:id="5" w:name="_Toc13367"/>
      <w:r>
        <w:rPr>
          <w:rFonts w:hint="eastAsia"/>
        </w:rPr>
        <w:t>体积烧蚀的控制方程</w:t>
      </w:r>
      <w:bookmarkEnd w:id="5"/>
    </w:p>
    <w:p>
      <w:pPr>
        <w:pStyle w:val="4"/>
        <w:spacing w:before="216" w:after="216"/>
      </w:pPr>
      <w:bookmarkStart w:id="6" w:name="_Toc5238"/>
      <w:r>
        <w:rPr>
          <w:rFonts w:hint="eastAsia"/>
        </w:rPr>
        <w:t>材料参数插值模型</w:t>
      </w:r>
      <w:bookmarkEnd w:id="6"/>
    </w:p>
    <w:p>
      <w:pPr>
        <w:ind w:firstLine="480" w:firstLineChars="200"/>
      </w:pPr>
      <w:r>
        <w:rPr>
          <w:rFonts w:hint="eastAsia"/>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pPr>
      <w:r>
        <w:rPr>
          <w:rFonts w:hint="eastAsia"/>
        </w:rPr>
        <w:t>完全碳化材料的密度取决于材料初始状态的组分配比和酚醛树脂的残碳率：</w:t>
      </w:r>
    </w:p>
    <w:p>
      <w:pPr>
        <w:pStyle w:val="23"/>
      </w:pPr>
      <w:r>
        <w:rPr>
          <w:rFonts w:hint="eastAsia"/>
        </w:rPr>
        <w:tab/>
      </w:r>
      <w:r>
        <w:rPr>
          <w:rFonts w:hint="eastAsia"/>
        </w:rPr>
        <w:object>
          <v:shape id="_x0000_i1025" o:spt="75" type="#_x0000_t75" style="height:18pt;width:95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ab/>
      </w:r>
      <w:r>
        <w:rPr>
          <w:rFonts w:hint="eastAsia"/>
        </w:rPr>
        <w:t>（3-1）</w:t>
      </w:r>
    </w:p>
    <w:p>
      <w:pPr>
        <w:ind w:firstLine="480" w:firstLineChars="200"/>
      </w:pPr>
      <w:r>
        <w:t>其他材料参数的插值计算表达式如下：</w:t>
      </w:r>
    </w:p>
    <w:p>
      <w:pPr>
        <w:pStyle w:val="23"/>
      </w:pPr>
      <w:r>
        <w:rPr>
          <w:rFonts w:hint="eastAsia"/>
          <w:position w:val="-12"/>
        </w:rPr>
        <w:tab/>
      </w:r>
      <w:r>
        <w:rPr>
          <w:rFonts w:hint="eastAsia"/>
          <w:position w:val="-12"/>
        </w:rPr>
        <w:object>
          <v:shape id="_x0000_i1026" o:spt="75" type="#_x0000_t75" style="height:18pt;width:173pt;" o:ole="t" filled="f" o:preferrelative="t" stroked="f" coordsize="21600,21600">
            <v:path/>
            <v:fill on="f" focussize="0,0"/>
            <v:stroke on="f" joinstyle="miter"/>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position w:val="-12"/>
        </w:rPr>
        <w:tab/>
      </w:r>
      <w:r>
        <w:rPr>
          <w:rFonts w:hint="eastAsia"/>
        </w:rPr>
        <w:t>（3-2）</w:t>
      </w:r>
    </w:p>
    <w:p>
      <w:pPr>
        <w:pStyle w:val="4"/>
        <w:spacing w:before="216" w:after="216"/>
      </w:pPr>
      <w:bookmarkStart w:id="7" w:name="_Toc17158"/>
      <w:r>
        <w:t>热分解动力学模型</w:t>
      </w:r>
      <w:bookmarkEnd w:id="7"/>
    </w:p>
    <w:p>
      <w:pPr>
        <w:ind w:firstLine="480" w:firstLineChars="200"/>
      </w:pPr>
      <w:r>
        <w:t>描述酚醛树脂气凝胶热分解过程的多孔介质模型是基于非平衡态的化学反应和Arrhenius方程。在体积平均化的假设下，热解度实际上是一个密度系数</w:t>
      </w:r>
      <w:r>
        <w:rPr>
          <w:rFonts w:hint="eastAsia"/>
        </w:rPr>
        <w:t>，将其作为广义密度代入经典阿伦尼乌斯方程，得到广义阿伦尼乌斯方程：</w:t>
      </w:r>
    </w:p>
    <w:p>
      <w:pPr>
        <w:pStyle w:val="23"/>
      </w:pPr>
      <w:r>
        <w:rPr>
          <w:rFonts w:hint="eastAsia"/>
          <w:position w:val="-12"/>
        </w:rPr>
        <w:tab/>
      </w:r>
      <w:r>
        <w:rPr>
          <w:rFonts w:hint="eastAsia"/>
          <w:position w:val="-12"/>
        </w:rPr>
        <w:object>
          <v:shape id="_x0000_i1027" o:spt="75" type="#_x0000_t75" style="height:20pt;width:247.95pt;" o:ole="t" filled="f" o:preferrelative="t" stroked="f" coordsize="21600,21600">
            <v:path/>
            <v:fill on="f" focussize="0,0"/>
            <v:stroke on="f" joinstyle="miter"/>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position w:val="-12"/>
        </w:rPr>
        <w:tab/>
      </w:r>
      <w:r>
        <w:rPr>
          <w:rFonts w:hint="eastAsia"/>
        </w:rPr>
        <w:t>（3-3）</w:t>
      </w:r>
    </w:p>
    <w:p>
      <w:pPr>
        <w:ind w:firstLine="480" w:firstLineChars="200"/>
      </w:pPr>
      <w:r>
        <w:rPr>
          <w:rFonts w:hint="eastAsia"/>
        </w:rPr>
        <w:t>基于互相重叠的三阶段热解反应理论，得到多重广义阿伦尼乌斯方程：</w:t>
      </w:r>
    </w:p>
    <w:p>
      <w:pPr>
        <w:pStyle w:val="23"/>
        <w:rPr>
          <w:rFonts w:eastAsia="黑体"/>
          <w:kern w:val="44"/>
          <w:sz w:val="36"/>
          <w:szCs w:val="36"/>
        </w:rPr>
      </w:pPr>
      <w:r>
        <w:rPr>
          <w:rFonts w:hint="eastAsia"/>
          <w:position w:val="-28"/>
        </w:rPr>
        <w:tab/>
      </w:r>
      <w:r>
        <w:rPr>
          <w:rFonts w:hint="eastAsia"/>
          <w:position w:val="-28"/>
        </w:rPr>
        <w:object>
          <v:shape id="_x0000_i1028" o:spt="75" type="#_x0000_t75" style="height:34pt;width:324pt;" o:ole="t" filled="f" o:preferrelative="t" stroked="f" coordsize="21600,21600">
            <v:path/>
            <v:fill on="f" focussize="0,0"/>
            <v:stroke on="f" joinstyle="miter"/>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position w:val="-28"/>
        </w:rPr>
        <w:tab/>
      </w:r>
      <w:r>
        <w:rPr>
          <w:rFonts w:hint="eastAsia"/>
        </w:rPr>
        <w:t>（3-4）</w:t>
      </w:r>
    </w:p>
    <w:p>
      <w:pPr>
        <w:pStyle w:val="2"/>
        <w:pageBreakBefore/>
        <w:spacing w:before="432" w:after="432"/>
        <w:ind w:left="431" w:hanging="431"/>
      </w:pPr>
      <w:bookmarkStart w:id="8" w:name="_Toc8411"/>
      <w:r>
        <w:rPr>
          <w:rFonts w:hint="eastAsia"/>
        </w:rPr>
        <w:t>烧蚀和热响应的数值仿真</w:t>
      </w:r>
      <w:bookmarkEnd w:id="8"/>
    </w:p>
    <w:p>
      <w:pPr>
        <w:pStyle w:val="3"/>
        <w:spacing w:before="216" w:after="216"/>
      </w:pPr>
      <w:bookmarkStart w:id="9" w:name="_Toc1156"/>
      <w:r>
        <w:rPr>
          <w:rFonts w:hint="eastAsia"/>
        </w:rPr>
        <w:t>CBC-PA复合材料的算例分析</w:t>
      </w:r>
      <w:bookmarkEnd w:id="9"/>
    </w:p>
    <w:p>
      <w:pPr>
        <w:ind w:firstLine="480" w:firstLineChars="200"/>
      </w:pPr>
      <w:r>
        <w:rPr>
          <w:rFonts w:hint="eastAsia"/>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rPr>
        <w:t>2</w:t>
      </w:r>
      <w:r>
        <w:rPr>
          <w:rFonts w:hint="eastAsia"/>
        </w:rPr>
        <w:t>，气流焓值为35MJ/kg，驻点压力为2.5kPa，烧蚀时间为60s，冷却至600s。</w:t>
      </w:r>
    </w:p>
    <w:p>
      <w:pPr>
        <w:ind w:firstLine="480" w:firstLineChars="200"/>
      </w:pPr>
      <w:r>
        <w:rPr>
          <w:rFonts w:hint="eastAsia"/>
        </w:rPr>
        <w:t>如</w:t>
      </w:r>
      <w:r>
        <w:rPr>
          <w:rFonts w:hint="eastAsia"/>
        </w:rPr>
        <w:fldChar w:fldCharType="begin"/>
      </w:r>
      <w:r>
        <w:rPr>
          <w:rFonts w:hint="eastAsia"/>
        </w:rPr>
        <w:instrText xml:space="preserve"> REF _Ref4077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1</w:t>
      </w:r>
      <w:r>
        <w:rPr>
          <w:rFonts w:hint="eastAsia"/>
        </w:rPr>
        <w:fldChar w:fldCharType="end"/>
      </w:r>
      <w:r>
        <w:rPr>
          <w:rFonts w:hint="eastAsia"/>
        </w:rPr>
        <w:t>和</w:t>
      </w:r>
      <w:r>
        <w:rPr>
          <w:rFonts w:hint="eastAsia"/>
        </w:rPr>
        <w:fldChar w:fldCharType="begin"/>
      </w:r>
      <w:r>
        <w:rPr>
          <w:rFonts w:hint="eastAsia"/>
        </w:rPr>
        <w:instrText xml:space="preserve"> REF _Ref4975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2</w:t>
      </w:r>
      <w:r>
        <w:rPr>
          <w:rFonts w:hint="eastAsia"/>
        </w:rPr>
        <w:fldChar w:fldCharType="end"/>
      </w:r>
      <w:r>
        <w:rPr>
          <w:rFonts w:hint="eastAsia"/>
        </w:rPr>
        <w:t>所示，分别为中轴线上的温度随时间的演化和沿轴向坐标的分布。原始壁面在大热流作用下迅速升温到2400</w:t>
      </w:r>
      <w:r>
        <w:t>℃</w:t>
      </w:r>
      <w:r>
        <w:rPr>
          <w:rFonts w:hint="eastAsia"/>
        </w:rPr>
        <w:t>，且几乎是立刻就被物质消耗掉了。中轴线上距离原始表面5mm深处在加热阶段结束时刻达到温度峰值约1800</w:t>
      </w:r>
      <w:r>
        <w:t>℃</w:t>
      </w:r>
      <w:r>
        <w:rPr>
          <w:rFonts w:hint="eastAsia"/>
        </w:rPr>
        <w:t>。距离原始表面10mm深处在加热阶段结束后约10s时达到温度峰值约700</w:t>
      </w:r>
      <w:r>
        <w:t>℃</w:t>
      </w:r>
      <w:r>
        <w:rPr>
          <w:rFonts w:hint="eastAsia"/>
        </w:rPr>
        <w:t>，这已经小于酚醛气凝胶热解终点温度（1000</w:t>
      </w:r>
      <w:r>
        <w:t>℃</w:t>
      </w:r>
      <w:r>
        <w:rPr>
          <w:rFonts w:hint="eastAsia"/>
        </w:rPr>
        <w:t>），可见材料在3.7 MW/m</w:t>
      </w:r>
      <w:r>
        <w:rPr>
          <w:rFonts w:hint="eastAsia"/>
          <w:vertAlign w:val="superscript"/>
        </w:rPr>
        <w:t>2</w:t>
      </w:r>
      <w:r>
        <w:rPr>
          <w:rFonts w:hint="eastAsia"/>
        </w:rPr>
        <w:t>的60s烧蚀条件下表现出了良好的热屏蔽性能。深度（与原始表面距离）越大处的温度响应延迟性越大，距原始表面20mm处的最高温度已控制在200</w:t>
      </w:r>
      <w:r>
        <w:t>℃</w:t>
      </w:r>
      <w:r>
        <w:rPr>
          <w:rFonts w:hint="eastAsia"/>
        </w:rPr>
        <w:t>以下，且出现在150s（冷却90s）之后，可见材料又表现出了极佳的热绝缘性能。数值仿真中材料所体现出的优异防/隔热性能与烧蚀实验所得结论是相一致的。</w:t>
      </w:r>
    </w:p>
    <w:p>
      <w:pPr>
        <w:ind w:firstLine="480" w:firstLineChars="200"/>
      </w:pPr>
      <w:r>
        <w:rPr>
          <w:rFonts w:hint="eastAsia"/>
        </w:rPr>
        <w:t>如</w:t>
      </w:r>
      <w:r>
        <w:rPr>
          <w:rFonts w:hint="eastAsia"/>
        </w:rPr>
        <w:fldChar w:fldCharType="begin"/>
      </w:r>
      <w:r>
        <w:rPr>
          <w:rFonts w:hint="eastAsia"/>
        </w:rPr>
        <w:instrText xml:space="preserve"> REF _Ref5008 \h </w:instrText>
      </w:r>
      <w:r>
        <w:rPr>
          <w:rFonts w:hint="eastAsia"/>
        </w:rPr>
        <w:fldChar w:fldCharType="separate"/>
      </w:r>
      <w:r>
        <w:t>图</w:t>
      </w:r>
      <w:r>
        <w:fldChar w:fldCharType="begin"/>
      </w:r>
      <w:r>
        <w:instrText xml:space="preserve"> STYLEREF 1 \s </w:instrText>
      </w:r>
      <w:r>
        <w:fldChar w:fldCharType="separate"/>
      </w:r>
      <w:r>
        <w:t>4</w:t>
      </w:r>
      <w:r>
        <w:fldChar w:fldCharType="end"/>
      </w:r>
      <w:r>
        <w:rPr>
          <w:rFonts w:hint="eastAsia"/>
        </w:rPr>
        <w:t>-</w:t>
      </w:r>
      <w:r>
        <w:t>3</w:t>
      </w:r>
      <w:r>
        <w:rPr>
          <w:rFonts w:hint="eastAsia"/>
        </w:rPr>
        <w:fldChar w:fldCharType="end"/>
      </w:r>
      <w:r>
        <w:rPr>
          <w:rFonts w:hint="eastAsia"/>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spacing w:before="216"/>
      </w:pPr>
      <w:r>
        <w:rPr>
          <w:rFonts w:hint="eastAsia"/>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pPr>
      <w:bookmarkStart w:id="10" w:name="_Ref4077"/>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w:t>
      </w:r>
      <w:r>
        <w:fldChar w:fldCharType="end"/>
      </w:r>
      <w:bookmarkEnd w:id="10"/>
      <w:r>
        <w:rPr>
          <w:rFonts w:hint="eastAsia"/>
        </w:rPr>
        <w:t xml:space="preserve"> 中轴线上的温度随时间的演化</w:t>
      </w:r>
    </w:p>
    <w:p>
      <w:pPr>
        <w:pStyle w:val="20"/>
        <w:spacing w:before="216"/>
      </w:pPr>
      <w:r>
        <w:rPr>
          <w:rFonts w:hint="eastAsia"/>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pPr>
      <w:bookmarkStart w:id="11" w:name="_Ref4975"/>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2</w:t>
      </w:r>
      <w:r>
        <w:fldChar w:fldCharType="end"/>
      </w:r>
      <w:bookmarkEnd w:id="11"/>
      <w:r>
        <w:rPr>
          <w:rFonts w:hint="eastAsia"/>
        </w:rPr>
        <w:t xml:space="preserve"> 中轴线上的温度沿深度的分布</w:t>
      </w:r>
    </w:p>
    <w:p>
      <w:pPr>
        <w:pStyle w:val="20"/>
        <w:spacing w:before="216"/>
      </w:pPr>
      <w:r>
        <w:rPr>
          <w:rFonts w:hint="eastAsia"/>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pPr>
      <w:bookmarkStart w:id="12" w:name="_Ref5008"/>
      <w:r>
        <w:t>图</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3</w:t>
      </w:r>
      <w:r>
        <w:fldChar w:fldCharType="end"/>
      </w:r>
      <w:bookmarkEnd w:id="12"/>
      <w:r>
        <w:rPr>
          <w:rFonts w:hint="eastAsia"/>
        </w:rPr>
        <w:t xml:space="preserve"> 温度场云图</w:t>
      </w:r>
    </w:p>
    <w:p>
      <w:pPr>
        <w:ind w:firstLine="480" w:firstLineChars="200"/>
      </w:pPr>
      <w:r>
        <w:rPr>
          <w:rFonts w:hint="eastAsia"/>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spacing w:before="432" w:beforeLines="100" w:after="432" w:afterLines="100"/>
        <w:jc w:val="center"/>
        <w:outlineLvl w:val="0"/>
        <w:rPr>
          <w:rFonts w:eastAsia="黑体"/>
          <w:sz w:val="36"/>
          <w:szCs w:val="36"/>
        </w:rPr>
        <w:sectPr>
          <w:headerReference r:id="rId5" w:type="default"/>
          <w:footerReference r:id="rId6" w:type="default"/>
          <w:pgSz w:w="11906" w:h="16838"/>
          <w:pgMar w:top="1417" w:right="1701" w:bottom="1417" w:left="1701" w:header="1134" w:footer="1134" w:gutter="0"/>
          <w:pgNumType w:start="1"/>
          <w:cols w:space="0" w:num="1"/>
          <w:rtlGutter w:val="0"/>
          <w:docGrid w:type="lines" w:linePitch="424" w:charSpace="0"/>
        </w:sectPr>
      </w:pPr>
    </w:p>
    <w:p>
      <w:pPr>
        <w:keepNext/>
        <w:keepLines/>
        <w:pageBreakBefore/>
        <w:spacing w:before="432" w:beforeLines="100" w:after="432" w:afterLines="100"/>
        <w:jc w:val="center"/>
        <w:outlineLvl w:val="0"/>
        <w:rPr>
          <w:rFonts w:eastAsia="黑体"/>
          <w:sz w:val="36"/>
          <w:szCs w:val="36"/>
        </w:rPr>
      </w:pPr>
      <w:bookmarkStart w:id="13" w:name="_Toc29952"/>
      <w:r>
        <w:rPr>
          <w:rFonts w:hint="eastAsia" w:eastAsia="黑体"/>
          <w:sz w:val="36"/>
          <w:szCs w:val="36"/>
        </w:rPr>
        <w:t>参考文献</w:t>
      </w:r>
      <w:bookmarkEnd w:id="13"/>
    </w:p>
    <w:p>
      <w:pPr>
        <w:numPr>
          <w:ilvl w:val="0"/>
          <w:numId w:val="2"/>
        </w:numPr>
      </w:pPr>
      <w:bookmarkStart w:id="14" w:name="_Ref5"/>
      <w:r>
        <w:rPr>
          <w:rFonts w:hint="eastAsia"/>
        </w:rPr>
        <w:t>陆亚东，赵会光，李传江，等. 深空探测返回器再入技术初步研究[C]//中国宇航学会深空探测技术专业委员会学术年会. 2008：26-30.</w:t>
      </w:r>
      <w:bookmarkEnd w:id="14"/>
    </w:p>
    <w:p>
      <w:pPr>
        <w:numPr>
          <w:ilvl w:val="0"/>
          <w:numId w:val="2"/>
        </w:numPr>
      </w:pPr>
      <w:bookmarkStart w:id="15" w:name="_Ref246"/>
      <w:r>
        <w:rPr>
          <w:rFonts w:hint="eastAsia"/>
        </w:rPr>
        <w:t>王臣，梁军，吴世平，等. 高温烧蚀条件下C/C材料热力耦合场模拟[J]. 复合材料学报，2006，23(5)：143-148.</w:t>
      </w:r>
      <w:bookmarkEnd w:id="15"/>
    </w:p>
    <w:p>
      <w:pPr>
        <w:numPr>
          <w:ilvl w:val="0"/>
          <w:numId w:val="2"/>
        </w:numPr>
      </w:pPr>
      <w:bookmarkStart w:id="16" w:name="_Ref351"/>
      <w:r>
        <w:rPr>
          <w:rFonts w:hint="eastAsia"/>
        </w:rPr>
        <w:t>王春明，梁馨，孙宝岗，等. 低密度烧蚀材料在神舟飞船上的应用[J]. 宇航材料工艺，2011，41(2)：5-8.</w:t>
      </w:r>
      <w:bookmarkEnd w:id="16"/>
    </w:p>
    <w:p>
      <w:pPr>
        <w:numPr>
          <w:ilvl w:val="0"/>
          <w:numId w:val="2"/>
        </w:numPr>
      </w:pPr>
      <w:bookmarkStart w:id="17" w:name="_Ref416"/>
      <w:r>
        <w:rPr>
          <w:rFonts w:hint="eastAsia"/>
        </w:rPr>
        <w:t>叶培建，杨孟飞，彭兢，等. 中国深空探测进入/再入返回技术的发展现状和展望[J]. 中国科学:技术科学，2015(3)：229-238.</w:t>
      </w:r>
      <w:bookmarkEnd w:id="17"/>
    </w:p>
    <w:p>
      <w:pPr>
        <w:numPr>
          <w:ilvl w:val="0"/>
          <w:numId w:val="2"/>
        </w:numPr>
      </w:pPr>
      <w:bookmarkStart w:id="18" w:name="_Ref455"/>
      <w:r>
        <w:rPr>
          <w:rFonts w:hint="eastAsia"/>
        </w:rPr>
        <w:t>吴晓宏，陆小龙，李涛，等. 轻质烧蚀材料研究综述[J]. 航天器环境工程，2011，28(4)：313-317.</w:t>
      </w:r>
      <w:bookmarkEnd w:id="18"/>
    </w:p>
    <w:sectPr>
      <w:headerReference r:id="rId7" w:type="default"/>
      <w:footerReference r:id="rId8" w:type="default"/>
      <w:pgSz w:w="11906" w:h="16838"/>
      <w:pgMar w:top="1417" w:right="1701" w:bottom="1417" w:left="1701" w:header="1134" w:footer="1134" w:gutter="0"/>
      <w:pgNumType w:start="1"/>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&#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Ekaiw4CAAAHBAAADgAAAAAAAAABACAAAAAf&#10;AQAAZHJzL2Uyb0RvYy54bWxQSwUGAAAAAAYABgBZAQAAnw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mSwMQAgAABwQAAA4AAABkcnMvZTJvRG9jLnhtbK1TzY7TMBC+I/EO&#10;lu80aRGrbt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8JksD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pPr>
    <w:r>
      <w:rPr>
        <w:rFonts w:hint="eastAsia" w:cs="Times New Roman"/>
        <w:color w:val="000000"/>
        <w:sz w:val="24"/>
        <w:szCs w:val="24"/>
        <w:lang w:bidi="ar"/>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DA210"/>
    <w:multiLevelType w:val="singleLevel"/>
    <w:tmpl w:val="3B9DA210"/>
    <w:lvl w:ilvl="0" w:tentative="0">
      <w:start w:val="1"/>
      <w:numFmt w:val="decimal"/>
      <w:lvlText w:val="[%1]"/>
      <w:lvlJc w:val="left"/>
      <w:pPr>
        <w:tabs>
          <w:tab w:val="left" w:pos="397"/>
        </w:tabs>
        <w:ind w:left="454" w:hanging="454"/>
      </w:pPr>
      <w:rPr>
        <w:rFonts w:hint="default"/>
      </w:rPr>
    </w:lvl>
  </w:abstractNum>
  <w:abstractNum w:abstractNumId="1">
    <w:nsid w:val="4792DA66"/>
    <w:multiLevelType w:val="multilevel"/>
    <w:tmpl w:val="4792DA66"/>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0F60F4"/>
    <w:rsid w:val="005D2FD3"/>
    <w:rsid w:val="005E22DA"/>
    <w:rsid w:val="006709C0"/>
    <w:rsid w:val="007C4250"/>
    <w:rsid w:val="00AF08B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450ED8"/>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800167"/>
    <w:rsid w:val="11C92F2E"/>
    <w:rsid w:val="11CE3638"/>
    <w:rsid w:val="122A5F6F"/>
    <w:rsid w:val="126B0DD2"/>
    <w:rsid w:val="12E517C1"/>
    <w:rsid w:val="13016FCA"/>
    <w:rsid w:val="13655781"/>
    <w:rsid w:val="13881BD6"/>
    <w:rsid w:val="13BC3357"/>
    <w:rsid w:val="13DD5447"/>
    <w:rsid w:val="13F936CE"/>
    <w:rsid w:val="141F12F5"/>
    <w:rsid w:val="14B966BF"/>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6D93B41"/>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532DA8"/>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DD3541"/>
    <w:rsid w:val="24F72180"/>
    <w:rsid w:val="258D783C"/>
    <w:rsid w:val="26045CAF"/>
    <w:rsid w:val="2618364F"/>
    <w:rsid w:val="2622253C"/>
    <w:rsid w:val="26494E5F"/>
    <w:rsid w:val="26546481"/>
    <w:rsid w:val="26772257"/>
    <w:rsid w:val="26BA17C5"/>
    <w:rsid w:val="26F703B7"/>
    <w:rsid w:val="26FC524F"/>
    <w:rsid w:val="27311897"/>
    <w:rsid w:val="2768556B"/>
    <w:rsid w:val="287A3FA5"/>
    <w:rsid w:val="28B50CA1"/>
    <w:rsid w:val="28DB05BE"/>
    <w:rsid w:val="29627523"/>
    <w:rsid w:val="29683EF9"/>
    <w:rsid w:val="29B86A20"/>
    <w:rsid w:val="29D676C3"/>
    <w:rsid w:val="2A541C19"/>
    <w:rsid w:val="2AAA645F"/>
    <w:rsid w:val="2B1C4AD2"/>
    <w:rsid w:val="2BB529A1"/>
    <w:rsid w:val="2BD851E2"/>
    <w:rsid w:val="2BED16DC"/>
    <w:rsid w:val="2CA44FDE"/>
    <w:rsid w:val="2D6C4FDF"/>
    <w:rsid w:val="2E260562"/>
    <w:rsid w:val="2E410492"/>
    <w:rsid w:val="2E713371"/>
    <w:rsid w:val="2EAE02D7"/>
    <w:rsid w:val="2ED071FE"/>
    <w:rsid w:val="2ED845E6"/>
    <w:rsid w:val="2F0A5E95"/>
    <w:rsid w:val="2F450F41"/>
    <w:rsid w:val="2F7C425C"/>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3D25CF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AB4F1A"/>
    <w:rsid w:val="3902661C"/>
    <w:rsid w:val="391C5077"/>
    <w:rsid w:val="3961048C"/>
    <w:rsid w:val="398936C5"/>
    <w:rsid w:val="39EF126D"/>
    <w:rsid w:val="3A1A36D7"/>
    <w:rsid w:val="3A2834EA"/>
    <w:rsid w:val="3A8F2D7D"/>
    <w:rsid w:val="3AA412BD"/>
    <w:rsid w:val="3AE652B4"/>
    <w:rsid w:val="3B070636"/>
    <w:rsid w:val="3B160B97"/>
    <w:rsid w:val="3B25050F"/>
    <w:rsid w:val="3B507798"/>
    <w:rsid w:val="3B9769ED"/>
    <w:rsid w:val="3BB25263"/>
    <w:rsid w:val="3C066D5D"/>
    <w:rsid w:val="3C0F543D"/>
    <w:rsid w:val="3C157303"/>
    <w:rsid w:val="3CB70BA2"/>
    <w:rsid w:val="3D5E4F8F"/>
    <w:rsid w:val="3D680FED"/>
    <w:rsid w:val="3DBB7DC4"/>
    <w:rsid w:val="3E214235"/>
    <w:rsid w:val="3FCD468D"/>
    <w:rsid w:val="3FF112F6"/>
    <w:rsid w:val="4008190C"/>
    <w:rsid w:val="4039233F"/>
    <w:rsid w:val="41095032"/>
    <w:rsid w:val="41343F77"/>
    <w:rsid w:val="41585275"/>
    <w:rsid w:val="415F2402"/>
    <w:rsid w:val="41A7066A"/>
    <w:rsid w:val="41A76910"/>
    <w:rsid w:val="41E176FD"/>
    <w:rsid w:val="422A64E8"/>
    <w:rsid w:val="42370DD0"/>
    <w:rsid w:val="423F0DB2"/>
    <w:rsid w:val="434C381A"/>
    <w:rsid w:val="43534549"/>
    <w:rsid w:val="435E72B2"/>
    <w:rsid w:val="43907CEA"/>
    <w:rsid w:val="43925590"/>
    <w:rsid w:val="43FB0DAA"/>
    <w:rsid w:val="45046F5A"/>
    <w:rsid w:val="45576442"/>
    <w:rsid w:val="45EE5624"/>
    <w:rsid w:val="462C5861"/>
    <w:rsid w:val="466C436C"/>
    <w:rsid w:val="466F65B4"/>
    <w:rsid w:val="476A4237"/>
    <w:rsid w:val="477907C8"/>
    <w:rsid w:val="47C962A8"/>
    <w:rsid w:val="47CB19CF"/>
    <w:rsid w:val="48B40999"/>
    <w:rsid w:val="48EF2C08"/>
    <w:rsid w:val="49200DBC"/>
    <w:rsid w:val="49B65ACB"/>
    <w:rsid w:val="49F0221F"/>
    <w:rsid w:val="4A7E6D12"/>
    <w:rsid w:val="4ACE659D"/>
    <w:rsid w:val="4AF37F26"/>
    <w:rsid w:val="4BC0323B"/>
    <w:rsid w:val="4C512AED"/>
    <w:rsid w:val="4C6955DB"/>
    <w:rsid w:val="4D0B12BF"/>
    <w:rsid w:val="4D3C706A"/>
    <w:rsid w:val="4D7B3857"/>
    <w:rsid w:val="4DB862C8"/>
    <w:rsid w:val="4DFB5FA9"/>
    <w:rsid w:val="4E201CBD"/>
    <w:rsid w:val="4E3B70BE"/>
    <w:rsid w:val="4EC45D2A"/>
    <w:rsid w:val="4FBB0B00"/>
    <w:rsid w:val="5053709E"/>
    <w:rsid w:val="50A96F5C"/>
    <w:rsid w:val="50B27206"/>
    <w:rsid w:val="5102207E"/>
    <w:rsid w:val="518B6038"/>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743EF"/>
    <w:rsid w:val="5C580DBB"/>
    <w:rsid w:val="5CEC7088"/>
    <w:rsid w:val="5D1B5F50"/>
    <w:rsid w:val="5D415857"/>
    <w:rsid w:val="5D893EEE"/>
    <w:rsid w:val="5DAA3BB6"/>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4123EA"/>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7A65B8A"/>
    <w:rsid w:val="683B72AC"/>
    <w:rsid w:val="687159D0"/>
    <w:rsid w:val="68EA6B54"/>
    <w:rsid w:val="690F1211"/>
    <w:rsid w:val="6927028A"/>
    <w:rsid w:val="693D35CB"/>
    <w:rsid w:val="69606769"/>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6D1699E"/>
    <w:rsid w:val="7707159A"/>
    <w:rsid w:val="771724D4"/>
    <w:rsid w:val="77476912"/>
    <w:rsid w:val="776F116D"/>
    <w:rsid w:val="788F7E27"/>
    <w:rsid w:val="792A2F92"/>
    <w:rsid w:val="79355FFD"/>
    <w:rsid w:val="798E0AEC"/>
    <w:rsid w:val="7A3D7C25"/>
    <w:rsid w:val="7A4F6580"/>
    <w:rsid w:val="7A9031DD"/>
    <w:rsid w:val="7ADB62D4"/>
    <w:rsid w:val="7B405674"/>
    <w:rsid w:val="7BD01271"/>
    <w:rsid w:val="7C6D4D0D"/>
    <w:rsid w:val="7D590BBE"/>
    <w:rsid w:val="7D5C4048"/>
    <w:rsid w:val="7E48694E"/>
    <w:rsid w:val="7E604B25"/>
    <w:rsid w:val="7EBD7793"/>
    <w:rsid w:val="7EF228F2"/>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numPr>
        <w:ilvl w:val="0"/>
        <w:numId w:val="1"/>
      </w:numPr>
      <w:tabs>
        <w:tab w:val="left" w:pos="0"/>
      </w:tabs>
      <w:spacing w:before="100" w:beforeLines="100" w:after="100" w:afterLines="100"/>
      <w:jc w:val="center"/>
      <w:outlineLvl w:val="0"/>
    </w:pPr>
    <w:rPr>
      <w:rFonts w:ascii="Times New Roman" w:hAnsi="Times New Roman"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after="50" w:afterLines="5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after="50" w:afterLines="5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center"/>
    </w:pPr>
    <w:rPr>
      <w:sz w:val="18"/>
      <w:szCs w:val="18"/>
    </w:rPr>
  </w:style>
  <w:style w:type="paragraph" w:styleId="15">
    <w:name w:val="toc 1"/>
    <w:basedOn w:val="1"/>
    <w:next w:val="1"/>
    <w:unhideWhenUsed/>
    <w:qFormat/>
    <w:uiPriority w:val="39"/>
    <w:pPr>
      <w:tabs>
        <w:tab w:val="right" w:leader="dot" w:pos="8505"/>
      </w:tabs>
    </w:pPr>
    <w:rPr>
      <w:rFonts w:ascii="黑体" w:hAnsi="黑体" w:eastAsia="黑体"/>
    </w:rPr>
  </w:style>
  <w:style w:type="paragraph" w:styleId="16">
    <w:name w:val="toc 2"/>
    <w:basedOn w:val="1"/>
    <w:next w:val="1"/>
    <w:semiHidden/>
    <w:unhideWhenUsed/>
    <w:qFormat/>
    <w:uiPriority w:val="39"/>
    <w:pPr>
      <w:tabs>
        <w:tab w:val="right" w:leader="dot" w:pos="8505"/>
      </w:tabs>
      <w:ind w:left="420" w:leftChars="200"/>
    </w:p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sz w:val="21"/>
      <w:szCs w:val="21"/>
    </w:rPr>
  </w:style>
  <w:style w:type="character" w:customStyle="1" w:styleId="22">
    <w:name w:val="标题 1 字符"/>
    <w:link w:val="2"/>
    <w:qFormat/>
    <w:uiPriority w:val="0"/>
    <w:rPr>
      <w:rFonts w:ascii="Times New Roman" w:hAnsi="Times New Roman" w:eastAsia="黑体"/>
      <w:kern w:val="44"/>
      <w:sz w:val="36"/>
      <w:szCs w:val="36"/>
    </w:rPr>
  </w:style>
  <w:style w:type="paragraph" w:customStyle="1" w:styleId="23">
    <w:name w:val="公式"/>
    <w:basedOn w:val="1"/>
    <w:qFormat/>
    <w:uiPriority w:val="0"/>
    <w:pPr>
      <w:tabs>
        <w:tab w:val="right"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683</Words>
  <Characters>3895</Characters>
  <Lines>32</Lines>
  <Paragraphs>9</Paragraphs>
  <TotalTime>6</TotalTime>
  <ScaleCrop>false</ScaleCrop>
  <LinksUpToDate>false</LinksUpToDate>
  <CharactersWithSpaces>4569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阿福课堂-阿福</cp:lastModifiedBy>
  <dcterms:modified xsi:type="dcterms:W3CDTF">2025-05-14T05:58:21Z</dcterms:modified>
  <dc:title>工学硕士学位论文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