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overflowPunct w:val="0"/>
        <w:jc w:val="right"/>
        <w:rPr>
          <w:rFonts w:hint="eastAsia" w:ascii="Times New Roman" w:hAnsi="Times New Roman" w:eastAsia="仿宋"/>
          <w:sz w:val="32"/>
        </w:rPr>
      </w:pPr>
      <w:r>
        <w:rPr>
          <w:rFonts w:hint="eastAsia" w:ascii="Times New Roman" w:hAnsi="Times New Roman" w:eastAsia="仿宋"/>
          <w:sz w:val="32"/>
        </w:rPr>
        <w:t>总裁室发函【2021】12号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【2006】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一、检查对象和时间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（一）检查对象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（二）检查时间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（一）检查内容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1．制度建设和责任落实情况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2．软件日常使用管理情况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3．计算机软件安装情况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（二）检查方式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1．听取汇报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2．查阅资料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3．现场检查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4．反馈意见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094"/>
        <w:gridCol w:w="279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bookmarkStart w:id="0" w:name="_GoBack"/>
            <w:bookmarkEnd w:id="0"/>
            <w:r>
              <w:rPr>
                <w:rFonts w:hint="eastAsia"/>
              </w:rPr>
              <w:t>联系人：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张三</w:t>
            </w:r>
          </w:p>
        </w:tc>
        <w:tc>
          <w:tcPr>
            <w:tcW w:w="302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电话：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3020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传真：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3020" w:type="dxa"/>
            <w:vMerge w:val="continue"/>
            <w:tcBorders>
              <w:tl2br w:val="nil"/>
              <w:tr2bl w:val="nil"/>
            </w:tcBorders>
          </w:tcPr>
          <w:p/>
        </w:tc>
      </w:tr>
    </w:tbl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附件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软件正版化工作领导小组成员信息表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附件 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软件使用情况汇总表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附件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软件使用情况明细表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附件 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软件安装维护情况明细表</w:t>
      </w:r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1A630CCE"/>
    <w:rsid w:val="1C352861"/>
    <w:rsid w:val="20480A86"/>
    <w:rsid w:val="240B3AC3"/>
    <w:rsid w:val="263B7D55"/>
    <w:rsid w:val="288738FF"/>
    <w:rsid w:val="293258D6"/>
    <w:rsid w:val="2FE54ECE"/>
    <w:rsid w:val="31706292"/>
    <w:rsid w:val="377E5E39"/>
    <w:rsid w:val="3BFC3777"/>
    <w:rsid w:val="3CCA62AA"/>
    <w:rsid w:val="4408725E"/>
    <w:rsid w:val="4B092B90"/>
    <w:rsid w:val="4E542CDC"/>
    <w:rsid w:val="50EF11CE"/>
    <w:rsid w:val="546A7D45"/>
    <w:rsid w:val="627C29E7"/>
    <w:rsid w:val="6644365E"/>
    <w:rsid w:val="68251487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4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阿福课堂-阿福</cp:lastModifiedBy>
  <dcterms:modified xsi:type="dcterms:W3CDTF">2025-05-16T14:24:03Z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