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aink am3d wp14">
  <w:body>
    <w:p>
      <w:pPr>
        <w:pStyle w:val="Heading1"/>
      </w:pPr>
      <w:r>
        <w:t>Luật Thuế thu nhập cá nhân số 04/2007/QH12</w:t>
      </w:r>
    </w:p>
    <w:p>
      <w:r>
        <w:t>Luật Thuế thu nhập cá nhân quy định về thuế thu nhập cá nhân đối với thu nhập từ kinh doanh, tiền lương, tiền công, đầu tư, chuyển nhượng vốn, chuyển nhượng bất động sản, trúng thưởng, bản quyền, nhượng quyền thương mại và thu nhập khác.
Điều 1. Người nộp thuế
1. Cá nhân cư trú có thu nhập chịu thuế phát sinh trong và ngoài lãnh thổ Việt Nam.
2. Cá nhân không cư trú có thu nhập chịu thuế phát sinh trong lãnh thổ Việt Nam.
Điều 2. Thu nhập chịu thuế
Thu nhập chịu thuế thu nhập cá nhân bao gồm:
1. Thu nhập từ kinh doanh.
2. Thu nhập từ tiền lương, tiền công.
3. Thu nhập từ đầu tư vốn.
4. Thu nhập từ chuyển nhượng vốn.
5. Thu nhập từ chuyển nhượng bất động sản.
6. Thu nhập từ trúng thưởng.
7. Thu nhập từ bản quyền.
8. Thu nhập từ nhượng quyền thương mại.
9. Thu nhập từ các nguồn khác.
Điều 3. Căn cứ tính thuế
Căn cứ tính thuế đối với thu nhập từ kinh doanh là thu nhập tính thuế và thuế suất.
</w:t>
      </w:r>
    </w:p>
    <w:sectPr>
      <w:pgSz w:w="12240" w:h="15840"/>
      <w:pgMar w:top="1440" w:right="1440" w:bottom="1440" w:left="1440" w:header="720" w:footer="720" w:gutter="0"/>
    </w:sectPr>
  </w:body>
</w:document>
</file>

<file path=word/_rels/document.xml.rels><?xml version="1.0" encoding="UTF-8" standalone="yes"?>
<Relationships xmlns="http://schemas.openxmlformats.org/package/2006/relationships">
<Relationship Id="rId1" Type="http://schemas.openxmlformats.org/officeDocument/2006/relationships/officeDocument" Target="word/document.xml"/>
</Relationships>
</file>