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aink am3d wp14">
  <w:body>
    <w:p>
      <w:pPr>
        <w:pStyle w:val="Heading1"/>
      </w:pPr>
      <w:r>
        <w:t>Nghị định 68/2026/NĐ-CP về thuế thu nhập cá nhân đối với hộ kinh doanh</w:t>
      </w:r>
    </w:p>
    <w:p>
      <w:r>
        <w:t>Nghị định quy định về thuế thu nhập cá nhân đối với cá nhân kinh doanh, hộ kinh doanh.
Điều 1. Phạm vi điều chỉnh
Nghị định này quy định về thuế thu nhập cá nhân đối với cá nhân kinh doanh, hộ kinh doanh có thu nhập từ kinh doanh.
Điều 2. Đối tượng áp dụng
1. Cá nhân kinh doanh có thu nhập từ kinh doanh.
2. Hộ kinh doanh, nhóm hộ kinh doanh.
Điều 3. Phương pháp tính thuế
1. Phương pháp kê khai.
2. Phương pháp khoán.
Điều 4. Thuế khoán
Đối tượng áp dụng thuế khoán:
- Cá nhân kinh doanh không thường xuyên.
- Cá nhân kinh doanh có doanh thu dưới mức ngưỡng doanh thu chịu thuế.
- Hộ kinh doanh có doanh thu từ 100 triệu đồng/năm trở xuống.
Mức thuế khoán:
- Thuế suất thuế TNCN: 1,5% trên doanh thu.
- Thuế suất thuế GTGT: 3% trên doanh thu.
Điều 5. Hồ sơ khai thuế
1. Tờ khai thuế theo mẫu quy định.
2. Bảng kê chi tiết thu nhập.
3. Các chứng từ, hóa đơn liên quan.
Điều 6. Thời hạn nộp thuế
1. Thuế khoán: nộp theo quý, chậm nhất ngày 30 tháng đầu quý sau.
2. Thuế kê khai: nộp theo tháng hoặc quý tùy quy mô.
</w:t>
      </w:r>
    </w:p>
    <w:sectPr>
      <w:pgSz w:w="12240" w:h="15840"/>
      <w:pgMar w:top="1440" w:right="1440" w:bottom="1440" w:left="1440" w:header="720" w:footer="720" w:gutter="0"/>
    </w:sectPr>
  </w:body>
</w:document>
</file>

<file path=word/_rels/document.xml.rels><?xml version="1.0" encoding="UTF-8" standalone="yes"?>
<Relationships xmlns="http://schemas.openxmlformats.org/package/2006/relationships">
<Relationship Id="rId1" Type="http://schemas.openxmlformats.org/officeDocument/2006/relationships/officeDocument" Target="word/document.xml"/>
</Relationships>
</file>