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微软雅黑" w:hAnsi="微软雅黑" w:eastAsia="微软雅黑"/>
          <w:b/>
          <w:color w:val="142F52"/>
          <w:sz w:val="48"/>
        </w:rPr>
        <w:t>批量转钣金功能使用说明</w:t>
      </w:r>
    </w:p>
    <w:p>
      <w:pPr>
        <w:jc w:val="center"/>
      </w:pPr>
      <w:r>
        <w:rPr>
          <w:rFonts w:ascii="微软雅黑" w:hAnsi="微软雅黑" w:eastAsia="微软雅黑"/>
          <w:color w:val="5C697A"/>
          <w:sz w:val="22"/>
        </w:rPr>
        <w:t>适用于 UG 智辉钣金插件 - 自动转钣金/批量展开</w:t>
      </w:r>
    </w:p>
    <w:p>
      <w:pPr>
        <w:pStyle w:val="Heading1"/>
      </w:pPr>
      <w:r>
        <w:t>1. 功能用途</w:t>
      </w:r>
    </w:p>
    <w:p>
      <w:r>
        <w:t>批量转钣金用于把选中的实体或装配子部件批量转换为钣金，并自动创建展开结果。它适合多个零件连续处理，也支持对个别零件手动指定展开基面和 X 向。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6F9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1F4D78"/>
                <w:sz w:val="21"/>
              </w:rPr>
              <w:t>使用原则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sz w:val="20"/>
              </w:rPr>
              <w:t>正常情况下直接按自动流程执行；只有个别零件方向不符合要求时，再使用“手动选择...”单独指定。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6126480" cy="3325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流程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25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基本使用步骤</w:t>
      </w:r>
    </w:p>
    <w:p>
      <w:pPr>
        <w:spacing w:after="60"/>
        <w:ind w:left="360" w:hanging="360"/>
      </w:pPr>
      <w:r>
        <w:rPr>
          <w:rFonts w:ascii="微软雅黑" w:hAnsi="微软雅黑" w:eastAsia="微软雅黑"/>
        </w:rPr>
        <w:t>1.  在 UG 中打开需要处理的单个部件或装配。</w:t>
      </w:r>
    </w:p>
    <w:p>
      <w:pPr>
        <w:spacing w:after="60"/>
        <w:ind w:left="360" w:hanging="360"/>
      </w:pPr>
      <w:r>
        <w:rPr>
          <w:rFonts w:ascii="微软雅黑" w:hAnsi="微软雅黑" w:eastAsia="微软雅黑"/>
        </w:rPr>
        <w:t>2.  启动“自动转钣金”功能。</w:t>
      </w:r>
    </w:p>
    <w:p>
      <w:pPr>
        <w:spacing w:after="60"/>
        <w:ind w:left="360" w:hanging="360"/>
      </w:pPr>
      <w:r>
        <w:rPr>
          <w:rFonts w:ascii="微软雅黑" w:hAnsi="微软雅黑" w:eastAsia="微软雅黑"/>
        </w:rPr>
        <w:t>3.  如果在装配环境运行，先在列表中筛选并勾选要处理的部件。</w:t>
      </w:r>
    </w:p>
    <w:p>
      <w:pPr>
        <w:spacing w:after="60"/>
        <w:ind w:left="360" w:hanging="360"/>
      </w:pPr>
      <w:r>
        <w:rPr>
          <w:rFonts w:ascii="微软雅黑" w:hAnsi="微软雅黑" w:eastAsia="微软雅黑"/>
        </w:rPr>
        <w:t>4.  在主对话框中确认固定面方向、避让槽、内 R、图层范围等参数。</w:t>
      </w:r>
    </w:p>
    <w:p>
      <w:pPr>
        <w:spacing w:after="60"/>
        <w:ind w:left="360" w:hanging="360"/>
      </w:pPr>
      <w:r>
        <w:rPr>
          <w:rFonts w:ascii="微软雅黑" w:hAnsi="微软雅黑" w:eastAsia="微软雅黑"/>
        </w:rPr>
        <w:t>5.  需要人工控制方向的实体，点击“手动选择...”并按提示选择基面和 X 向边。</w:t>
      </w:r>
    </w:p>
    <w:p>
      <w:pPr>
        <w:spacing w:after="60"/>
        <w:ind w:left="360" w:hanging="360"/>
      </w:pPr>
      <w:r>
        <w:rPr>
          <w:rFonts w:ascii="微软雅黑" w:hAnsi="微软雅黑" w:eastAsia="微软雅黑"/>
        </w:rPr>
        <w:t>6.  返回主对话框后点击“确定”，程序会继续处理未手动处理的对象。</w:t>
      </w:r>
    </w:p>
    <w:p>
      <w:pPr>
        <w:spacing w:after="60"/>
        <w:ind w:left="360" w:hanging="360"/>
      </w:pPr>
      <w:r>
        <w:rPr>
          <w:rFonts w:ascii="微软雅黑" w:hAnsi="微软雅黑" w:eastAsia="微软雅黑"/>
        </w:rPr>
        <w:t>7.  全部成功时不弹最终提示；有失败或异常时，查看弹框中的失败明细。</w:t>
      </w:r>
    </w:p>
    <w:p>
      <w:pPr>
        <w:pStyle w:val="Heading1"/>
      </w:pPr>
      <w:r>
        <w:t>3. 主对话框界面说明</w:t>
      </w:r>
    </w:p>
    <w:p>
      <w:r>
        <w:t>下图按主对话框上的按钮、输入框、下拉框和开关做了编号。实际软件界面不会显示红色编号，编号只用于对照本文档说明。</w:t>
      </w:r>
    </w:p>
    <w:p>
      <w:r>
        <w:drawing>
          <wp:inline xmlns:a="http://schemas.openxmlformats.org/drawingml/2006/main" xmlns:pic="http://schemas.openxmlformats.org/drawingml/2006/picture">
            <wp:extent cx="6126480" cy="41572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主对话框控件编号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5725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648"/>
            <w:vAlign w:val="center"/>
            <w:shd w:fill="E8EEF5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88"/>
            <w:vAlign w:val="center"/>
            <w:shd w:fill="E8EEF5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控件名称</w:t>
            </w:r>
          </w:p>
        </w:tc>
        <w:tc>
          <w:tcPr>
            <w:tcW w:type="dxa" w:w="1224"/>
            <w:vAlign w:val="center"/>
            <w:shd w:fill="E8EEF5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5400"/>
            <w:vAlign w:val="center"/>
            <w:shd w:fill="E8EEF5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使用说明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按标记线找基面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开关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有标记线要求时勾选。用于让展开方向参考标记线所在侧。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运行完成自动保存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开关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勾选后处理结束自动保存部件；正式批量处理时建议开启。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手动选择...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进入手动选择流程，给指定实体选择基面和 X 向边。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固定面方向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下拉框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选择“上折多”或“下折多”，用于控制自动展开时的方向偏好。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转钣金展开失败处理方式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下拉框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设置失败时如何处理对象，例如隐藏成功项、失败改红或高亮。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展开基面颜色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开关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勾选后给展开基面着色，便于检查选到的基面。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颜色选择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颜色框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选择展开基面显示的颜色。只有“展开基面颜色”开启时生效。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规则设置...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打开折弯规则表，维护材料、板厚、角度和 K 因子。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避让槽深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数字输入框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输入转钣金时使用的避让槽深度。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避让槽宽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数字输入框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输入转钣金时使用的避让槽宽度。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内R半径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数字输入框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输入内 R 半径。没有特殊要求时使用默认值。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跳过过小实体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开关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勾选后，按最小长度和最小宽度过滤小实体。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最小长度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数字输入框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和“跳过过小实体”配合使用，小于该长度的实体会被跳过。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最小宽度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数字输入框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和“跳过过小实体”配合使用，小于该宽度的实体会被跳过。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跳过螺母、螺柱、螺钉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开关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勾选后批量处理时排除紧固件类对象。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按图层范围找实体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开关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勾选后只处理指定图层范围内的实体。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起始图层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整数输入框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输入图层范围的起始层。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结束图层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整数输入框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输入图层范围的结束层。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每层只处理最大实体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开关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同一图层有多个实体时，只处理该层最大实体。</w:t>
            </w:r>
          </w:p>
        </w:tc>
      </w:tr>
    </w:tbl>
    <w:p>
      <w:pPr>
        <w:pStyle w:val="Heading1"/>
      </w:pPr>
      <w:r>
        <w:t>4. 装配列表界面说明</w:t>
      </w:r>
    </w:p>
    <w:p>
      <w:r>
        <w:t>在装配环境下运行时，会先出现待处理部件列表。可以先设置过滤条件，再勾选需要处理的部件。</w:t>
      </w:r>
    </w:p>
    <w:p>
      <w:r>
        <w:drawing>
          <wp:inline xmlns:a="http://schemas.openxmlformats.org/drawingml/2006/main" xmlns:pic="http://schemas.openxmlformats.org/drawingml/2006/picture">
            <wp:extent cx="6126480" cy="36758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装配列表控件编号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67588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648"/>
            <w:vAlign w:val="center"/>
            <w:shd w:fill="E8EEF5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88"/>
            <w:vAlign w:val="center"/>
            <w:shd w:fill="E8EEF5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控件名称</w:t>
            </w:r>
          </w:p>
        </w:tc>
        <w:tc>
          <w:tcPr>
            <w:tcW w:type="dxa" w:w="1224"/>
            <w:vAlign w:val="center"/>
            <w:shd w:fill="E8EEF5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5400"/>
            <w:vAlign w:val="center"/>
            <w:shd w:fill="E8EEF5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使用说明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过滤关键字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输入框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输入部件名或属性关键字，列表只显示匹配对象。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图层模式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下拉框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选择按“部件图层”过滤，或按“装配图层”过滤。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图层范围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输入框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输入要显示的图层。支持 10、10,12,15、10-15 这种格式。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清空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清除关键字、图层范围和过滤开关，恢复列表显示。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有材料属性值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开关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只显示材料属性有值的部件。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有数量属性值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开关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只显示数量属性有值的部件。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部件不含钣金特征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开关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只显示还没有钣金特征的部件。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显示的部件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开关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只显示当前在装配中可见的部件。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部件列表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列表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勾选要处理的部件；可查看部件名、材料、数量、图层等信息。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全选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勾选当前过滤后列表中显示的全部对象。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全不选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取消当前过滤后列表中显示对象的勾选。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确定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确认本次列表选择，进入主参数对话框或继续执行。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取消</w:t>
            </w:r>
          </w:p>
        </w:tc>
        <w:tc>
          <w:tcPr>
            <w:tcW w:type="dxa" w:w="1224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5400"/>
            <w:vAlign w:val="center"/>
          </w:tcPr>
          <w:p>
            <w:pPr>
              <w:spacing w:after="0" w:before="0" w:line="240" w:lineRule="auto"/>
            </w:pPr>
            <w:r>
              <w:rPr>
                <w:rFonts w:ascii="微软雅黑" w:hAnsi="微软雅黑" w:eastAsia="微软雅黑"/>
                <w:sz w:val="18"/>
              </w:rPr>
            </w:r>
            <w:r>
              <w:rPr>
                <w:rFonts w:ascii="微软雅黑" w:hAnsi="微软雅黑" w:eastAsia="微软雅黑"/>
                <w:b w:val="0"/>
                <w:sz w:val="18"/>
              </w:rPr>
              <w:t>退出列表选择，不执行本次批量处理。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6F9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1F4D78"/>
                <w:sz w:val="21"/>
              </w:rPr>
              <w:t>图层输入示例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sz w:val="20"/>
              </w:rPr>
              <w:t>输入 10 表示只看 10 层；输入 10,12,15 表示只看这几个图层；输入 10-15 表示 10 到 15 层。</w:t>
            </w:r>
          </w:p>
        </w:tc>
      </w:tr>
    </w:tbl>
    <w:p>
      <w:pPr>
        <w:pStyle w:val="Heading1"/>
      </w:pPr>
      <w:r>
        <w:t>5. 手动选择基面和 X 向</w:t>
      </w:r>
    </w:p>
    <w:p>
      <w:r>
        <w:drawing>
          <wp:inline xmlns:a="http://schemas.openxmlformats.org/drawingml/2006/main" xmlns:pic="http://schemas.openxmlformats.org/drawingml/2006/picture">
            <wp:extent cx="6126480" cy="31507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手动选择示意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50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ind w:left="360" w:hanging="360"/>
      </w:pPr>
      <w:r>
        <w:rPr>
          <w:rFonts w:ascii="微软雅黑" w:hAnsi="微软雅黑" w:eastAsia="微软雅黑"/>
        </w:rPr>
        <w:t>1.  点击主对话框中的“手动选择...”。</w:t>
      </w:r>
    </w:p>
    <w:p>
      <w:pPr>
        <w:spacing w:after="60"/>
        <w:ind w:left="360" w:hanging="360"/>
      </w:pPr>
      <w:r>
        <w:rPr>
          <w:rFonts w:ascii="微软雅黑" w:hAnsi="微软雅黑" w:eastAsia="微软雅黑"/>
        </w:rPr>
        <w:t>2.  选择需要手动处理实体上的基面。</w:t>
      </w:r>
    </w:p>
    <w:p>
      <w:pPr>
        <w:spacing w:after="60"/>
        <w:ind w:left="360" w:hanging="360"/>
      </w:pPr>
      <w:r>
        <w:rPr>
          <w:rFonts w:ascii="微软雅黑" w:hAnsi="微软雅黑" w:eastAsia="微软雅黑"/>
        </w:rPr>
        <w:t>3.  程序进入 X 向边选择，选择刚才基面上的直线边。</w:t>
      </w:r>
    </w:p>
    <w:p>
      <w:pPr>
        <w:spacing w:after="60"/>
        <w:ind w:left="360" w:hanging="360"/>
      </w:pPr>
      <w:r>
        <w:rPr>
          <w:rFonts w:ascii="微软雅黑" w:hAnsi="微软雅黑" w:eastAsia="微软雅黑"/>
        </w:rPr>
        <w:t>4.  当前实体处理完成后，会继续提示选择下一个实体的基面。</w:t>
      </w:r>
    </w:p>
    <w:p>
      <w:pPr>
        <w:spacing w:after="60"/>
        <w:ind w:left="360" w:hanging="360"/>
      </w:pPr>
      <w:r>
        <w:rPr>
          <w:rFonts w:ascii="微软雅黑" w:hAnsi="微软雅黑" w:eastAsia="微软雅黑"/>
        </w:rPr>
        <w:t>5.  不再手动选择时，点击取消返回主对话框。</w:t>
      </w:r>
    </w:p>
    <w:p>
      <w:pPr>
        <w:spacing w:after="60"/>
        <w:ind w:left="360" w:hanging="360"/>
      </w:pPr>
      <w:r>
        <w:rPr>
          <w:rFonts w:ascii="微软雅黑" w:hAnsi="微软雅黑" w:eastAsia="微软雅黑"/>
        </w:rPr>
        <w:t>6.  回到主对话框点击“确定”，未手动处理的实体会继续按自动方式执行。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FF7E6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1F4D78"/>
                <w:sz w:val="21"/>
              </w:rPr>
              <w:t>手动选择限制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sz w:val="20"/>
              </w:rPr>
              <w:t>手动选择的面必须来自带有 sulian 属性且该属性有值的实体；X 向边必须是所选基面上的直线边。</w:t>
            </w:r>
          </w:p>
        </w:tc>
      </w:tr>
    </w:tbl>
    <w:p>
      <w:pPr>
        <w:pStyle w:val="Heading1"/>
      </w:pPr>
      <w:r>
        <w:t>6. 结果提示和失败处理</w:t>
      </w:r>
    </w:p>
    <w:p>
      <w:r>
        <w:drawing>
          <wp:inline xmlns:a="http://schemas.openxmlformats.org/drawingml/2006/main" xmlns:pic="http://schemas.openxmlformats.org/drawingml/2006/picture">
            <wp:extent cx="6126480" cy="22755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结果提示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75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全部处理成功时，不弹最终结果框。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存在失败或异常时，弹出结果明细，便于定位是哪一层、哪个部件出问题。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被过滤条件跳过的对象不算失败。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如果开启“展开基面颜色”，可以通过颜色检查最终使用的基面。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如果选择失败改红或高亮，失败对象会按设置进行颜色或高亮标识。</w:t>
      </w:r>
    </w:p>
    <w:p>
      <w:pPr>
        <w:pStyle w:val="Heading1"/>
      </w:pPr>
      <w:r>
        <w:t>7. 常见问题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问题</w:t>
            </w:r>
          </w:p>
        </w:tc>
        <w:tc>
          <w:tcPr>
            <w:tcW w:type="dxa" w:w="4896"/>
            <w:vAlign w:val="center"/>
            <w:shd w:fill="E8EEF5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处理方法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为什么点“确定”后没有处理某些部件？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先检查装配列表过滤条件、图层范围、材料/数量属性开关，以及该部件是否被勾选。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为什么手动选择时选不到面？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确认该实体是否有名称为 sulian 且有值的属性，并确认选择的是实体上的平面。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为什么选不了 X 向边？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X 向边必须在已选基面上，且必须是直线边。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为什么全部成功没有弹框？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这是当前设计：全部成功时不打扰用户；只有失败或异常时才弹明细。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展开方向不对怎么办？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对该实体使用“手动选择...”，指定正确基面和 X 向边后再执行。</w:t>
            </w:r>
          </w:p>
        </w:tc>
      </w:tr>
    </w:tbl>
    <w:p>
      <w:pPr>
        <w:pStyle w:val="Heading1"/>
      </w:pPr>
      <w:r>
        <w:t>8. 建议操作习惯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正式批量处理前，先用少量零件验证规则和方向。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复杂或方向敏感的零件优先手动指定基面和 X 向。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需要复查时开启“展开基面颜色”。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装配数量较多时先用过滤关键字和图层范围缩小列表。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失败后先查看弹框明细，再根据图层和部件名称定位模型。</w:t>
      </w:r>
    </w:p>
    <w:sectPr w:rsidR="00FC693F" w:rsidRPr="0006063C" w:rsidSect="00034616">
      <w:footerReference w:type="default" r:id="rId14"/>
      <w:pgSz w:w="12240" w:h="15840"/>
      <w:pgMar w:top="1152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788291"/>
        <w:sz w:val="18"/>
      </w:rPr>
      <w:t>UG 智辉钣金插件 - 批量转钣金使用说明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