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设备供货合同节选</w:t>
      </w:r>
    </w:p>
    <w:p>
      <w:r>
        <w:t>北岭机械有限公司与蓝湾贸易有限公司约定，蓝湾贸易应在三月十五日前完成第一批设备交付。</w:t>
      </w:r>
    </w:p>
    <w:p>
      <w:r>
        <w:t>迟延交付时，守约方有权要求继续履行并主张迟延履行违约金。</w:t>
      </w:r>
    </w:p>
    <w:p>
      <w:r>
        <w:t>设备质量争议不影响交货期限条款的独立适用。</w:t>
      </w:r>
    </w:p>
    <w:sectPr>
      <w:pgSz w:w="11906" w:h="16838"/>
      <w:pgMar w:top="1440" w:right="1440" w:bottom="1440" w:left="1440"/>
    </w:sectPr>
  </w:body>
</w:document>
</file>