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鲲鹏结算系统接口鉴权说明</w:t>
      </w:r>
    </w:p>
    <w:p>
      <w:r>
        <w:t>对外接口采用网关层和业务层双层鉴权。</w:t>
      </w:r>
    </w:p>
    <w:p>
      <w:r>
        <w:t>调用方需要提供 X-App-Id、X-Signature、X-Timestamp。</w:t>
      </w:r>
    </w:p>
    <w:p>
      <w:r>
        <w:t>签名密钥不在本文档保存，需从公司密码保管系统申请。</w:t>
      </w:r>
    </w:p>
    <w:sectPr>
      <w:pgSz w:w="11906" w:h="16838"/>
      <w:pgMar w:top="1440" w:right="1440" w:bottom="1440" w:left="1440"/>
    </w:sectPr>
  </w:body>
</w:document>
</file>