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420" w:lineRule="auto" w:before="3000" w:after="120"/>
        <w:jc w:val="center"/>
      </w:pPr>
      <w:r>
        <w:rPr>
          <w:color w:val="1F4E79"/>
          <w:sz w:val="48"/>
        </w:rPr>
        <w:t>第三至六章改写稿</w:t>
      </w:r>
    </w:p>
    <w:p>
      <w:pPr>
        <w:spacing w:line="420" w:lineRule="auto" w:after="60"/>
        <w:jc w:val="center"/>
      </w:pPr>
      <w:r>
        <w:rPr>
          <w:color w:val="2C3E50"/>
          <w:sz w:val="26"/>
        </w:rPr>
        <w:t>使用说明与联动修改清单</w:t>
      </w:r>
    </w:p>
    <w:p>
      <w:pPr>
        <w:spacing w:line="420" w:lineRule="auto"/>
        <w:jc w:val="center"/>
      </w:pPr>
      <w:r>
        <w:rPr>
          <w:color w:val="6A6A6A"/>
          <w:sz w:val="19"/>
        </w:rPr>
        <w:t>供把改写稿合并回原《</w:t>
      </w:r>
      <w:r>
        <w:rPr>
          <w:color w:val="6A6A6A"/>
          <w:sz w:val="19"/>
        </w:rPr>
        <w:t>AI</w:t>
      </w:r>
      <w:r>
        <w:rPr>
          <w:color w:val="6A6A6A"/>
          <w:sz w:val="19"/>
        </w:rPr>
        <w:t>超市选品</w:t>
      </w:r>
      <w:r>
        <w:rPr>
          <w:color w:val="6A6A6A"/>
          <w:sz w:val="19"/>
        </w:rPr>
        <w:t>_</w:t>
      </w:r>
      <w:r>
        <w:rPr>
          <w:color w:val="6A6A6A"/>
          <w:sz w:val="19"/>
        </w:rPr>
        <w:t>场景分析报告</w:t>
      </w:r>
      <w:r>
        <w:rPr>
          <w:color w:val="6A6A6A"/>
          <w:sz w:val="19"/>
        </w:rPr>
        <w:t>.docx</w:t>
      </w:r>
      <w:r>
        <w:rPr>
          <w:color w:val="6A6A6A"/>
          <w:sz w:val="19"/>
        </w:rPr>
        <w:t>》时使用</w:t>
      </w:r>
    </w:p>
    <w:p>
      <w:pPr>
        <w:spacing w:line="420" w:lineRule="auto"/>
        <w:jc w:val="center"/>
      </w:pPr>
      <w:r>
        <w:rPr>
          <w:color w:val="6A6A6A"/>
          <w:sz w:val="19"/>
        </w:rPr>
        <w:t>2026</w:t>
      </w:r>
      <w:r>
        <w:rPr>
          <w:color w:val="6A6A6A"/>
          <w:sz w:val="19"/>
        </w:rPr>
        <w:t>年江苏省研究生</w:t>
      </w:r>
      <w:r>
        <w:rPr>
          <w:color w:val="6A6A6A"/>
          <w:sz w:val="19"/>
        </w:rPr>
        <w:t>“</w:t>
      </w:r>
      <w:r>
        <w:rPr>
          <w:color w:val="6A6A6A"/>
          <w:sz w:val="19"/>
        </w:rPr>
        <w:t>人工智能赋能企业管理场景应用设计</w:t>
      </w:r>
      <w:r>
        <w:rPr>
          <w:color w:val="6A6A6A"/>
          <w:sz w:val="19"/>
        </w:rPr>
        <w:t>”</w:t>
      </w:r>
      <w:r>
        <w:rPr>
          <w:color w:val="6A6A6A"/>
          <w:sz w:val="19"/>
        </w:rPr>
        <w:t>大赛</w:t>
      </w:r>
      <w:r/>
    </w:p>
    <w:p>
      <w:pPr>
        <w:sectPr>
          <w:type w:val="nextPage"/>
          <w:pgSz w:w="11906" w:h="16838"/>
          <w:pgMar w:top="1440" w:bottom="1440" w:left="1797" w:right="1797"/>
        </w:sectPr>
      </w:pPr>
    </w:p>
    <w:p>
      <w:bookmarkStart w:id="0" w:name="c6g"/>
      <w:pPr>
        <w:pStyle w:val="Heading1"/>
      </w:pPr>
      <w:bookmarkEnd w:id="0"/>
      <w:r>
        <w:rPr>
          <w:color w:val="1F4E79"/>
          <w:sz w:val="34"/>
        </w:rPr>
        <w:t>第三至六章改写稿　使用说明与联动修改清单</w:t>
      </w:r>
    </w:p>
    <w:p>
      <w:pPr>
        <w:spacing w:line="420" w:lineRule="auto"/>
        <w:jc w:val="both"/>
      </w:pPr>
      <w:r>
        <w:rPr>
          <w:color w:val="1A1A1A"/>
          <w:sz w:val="21"/>
        </w:rPr>
        <w:t>本附录说明本稿的性质、与原文的差异，以及合并回原报告时需要同步修改的内容。本附录</w:t>
      </w:r>
      <w:r>
        <w:rPr>
          <w:b/>
          <w:color w:val="1A1A1A"/>
          <w:sz w:val="21"/>
        </w:rPr>
        <w:t>不属于比赛报告正文</w:t>
      </w:r>
      <w:r>
        <w:rPr>
          <w:color w:val="1A1A1A"/>
          <w:sz w:val="21"/>
        </w:rPr>
        <w:t>，是交付给作者本人的操作说明。</w:t>
      </w:r>
    </w:p>
    <w:p>
      <w:bookmarkStart w:id="1" w:name="g1"/>
      <w:pPr>
        <w:pStyle w:val="Heading2"/>
      </w:pPr>
      <w:bookmarkEnd w:id="1"/>
      <w:r>
        <w:rPr>
          <w:color w:val="1F4E79"/>
          <w:sz w:val="27"/>
        </w:rPr>
        <w:t>一、本文件的性质与范围</w:t>
      </w:r>
    </w:p>
    <w:p>
      <w:pPr>
        <w:spacing w:line="420" w:lineRule="auto"/>
        <w:jc w:val="both"/>
      </w:pPr>
      <w:r>
        <w:rPr>
          <w:color w:val="1A1A1A"/>
          <w:sz w:val="21"/>
        </w:rPr>
        <w:t>本稿是《</w:t>
      </w:r>
      <w:r>
        <w:rPr>
          <w:color w:val="1A1A1A"/>
          <w:sz w:val="21"/>
        </w:rPr>
        <w:t>AI</w:t>
      </w:r>
      <w:r>
        <w:rPr>
          <w:color w:val="1A1A1A"/>
          <w:sz w:val="21"/>
        </w:rPr>
        <w:t>驱动的社区商超智能选品与品类优化研究》场景分析报告第三、四、五、六章的</w:t>
      </w:r>
      <w:r>
        <w:rPr>
          <w:b/>
          <w:color w:val="1A1A1A"/>
          <w:sz w:val="21"/>
        </w:rPr>
        <w:t>替换稿</w:t>
      </w:r>
      <w:r>
        <w:rPr>
          <w:color w:val="1A1A1A"/>
          <w:sz w:val="21"/>
        </w:rPr>
        <w:t>。使用方式为整章替换，而非逐段修改</w:t>
      </w:r>
      <w:r>
        <w:rPr>
          <w:color w:val="1A1A1A"/>
          <w:sz w:val="21"/>
        </w:rPr>
        <w:t>——</w:t>
      </w:r>
      <w:r>
        <w:rPr>
          <w:color w:val="1A1A1A"/>
          <w:sz w:val="21"/>
        </w:rPr>
        <w:t>原因是本稿依据的工程事实已从</w:t>
      </w:r>
      <w:r>
        <w:rPr>
          <w:color w:val="1A1A1A"/>
          <w:sz w:val="21"/>
        </w:rPr>
        <w:t>“</w:t>
      </w:r>
      <w:r>
        <w:rPr>
          <w:color w:val="1A1A1A"/>
          <w:sz w:val="21"/>
        </w:rPr>
        <w:t>单文件</w:t>
      </w:r>
      <w:r>
        <w:rPr>
          <w:color w:val="1A1A1A"/>
          <w:sz w:val="21"/>
        </w:rPr>
        <w:t xml:space="preserve"> HTML </w:t>
      </w:r>
      <w:r>
        <w:rPr>
          <w:color w:val="1A1A1A"/>
          <w:sz w:val="21"/>
        </w:rPr>
        <w:t>前端＋自研后台</w:t>
      </w:r>
      <w:r>
        <w:rPr>
          <w:color w:val="1A1A1A"/>
          <w:sz w:val="21"/>
        </w:rPr>
        <w:t>”</w:t>
      </w:r>
      <w:r>
        <w:rPr>
          <w:color w:val="1A1A1A"/>
          <w:sz w:val="21"/>
        </w:rPr>
        <w:t>的原型，切换为</w:t>
      </w:r>
      <w:r>
        <w:rPr>
          <w:color w:val="1A1A1A"/>
          <w:sz w:val="21"/>
        </w:rPr>
        <w:t>“React 18</w:t>
      </w:r>
      <w:r>
        <w:rPr>
          <w:color w:val="1A1A1A"/>
          <w:sz w:val="21"/>
        </w:rPr>
        <w:t>＋</w:t>
      </w:r>
      <w:r>
        <w:rPr>
          <w:color w:val="1A1A1A"/>
          <w:sz w:val="21"/>
        </w:rPr>
        <w:t xml:space="preserve">TypeScript </w:t>
      </w:r>
      <w:r>
        <w:rPr>
          <w:color w:val="1A1A1A"/>
          <w:sz w:val="21"/>
        </w:rPr>
        <w:t>前端＋</w:t>
      </w:r>
      <w:r>
        <w:rPr>
          <w:color w:val="1A1A1A"/>
          <w:sz w:val="21"/>
        </w:rPr>
        <w:t xml:space="preserve">FastAPI </w:t>
      </w:r>
      <w:r>
        <w:rPr>
          <w:color w:val="1A1A1A"/>
          <w:sz w:val="21"/>
        </w:rPr>
        <w:t>后端</w:t>
      </w:r>
      <w:r>
        <w:rPr>
          <w:color w:val="1A1A1A"/>
          <w:sz w:val="21"/>
        </w:rPr>
        <w:t>”</w:t>
      </w:r>
      <w:r>
        <w:rPr>
          <w:color w:val="1A1A1A"/>
          <w:sz w:val="21"/>
        </w:rPr>
        <w:t>的完整工程化版本</w:t>
      </w:r>
      <w:r>
        <w:rPr>
          <w:color w:val="1A1A1A"/>
          <w:sz w:val="21"/>
        </w:rPr>
        <w:t>“</w:t>
      </w:r>
      <w:r>
        <w:rPr>
          <w:color w:val="1A1A1A"/>
          <w:sz w:val="21"/>
        </w:rPr>
        <w:t>苏果智选</w:t>
      </w:r>
      <w:r>
        <w:rPr>
          <w:color w:val="1A1A1A"/>
          <w:sz w:val="21"/>
        </w:rPr>
        <w:t>”v1.0</w:t>
      </w:r>
      <w:r>
        <w:rPr>
          <w:color w:val="1A1A1A"/>
          <w:sz w:val="21"/>
        </w:rPr>
        <w:t>，两套事实的差异贯穿架构、接口、数据与全部实证数值，逐段修改的改动量大于整章替换。</w:t>
      </w:r>
    </w:p>
    <w:p>
      <w:pPr>
        <w:spacing w:line="420" w:lineRule="auto"/>
        <w:jc w:val="both"/>
      </w:pPr>
      <w:r>
        <w:rPr>
          <w:color w:val="1A1A1A"/>
          <w:sz w:val="21"/>
        </w:rPr>
        <w:t>本稿</w:t>
      </w:r>
      <w:r>
        <w:rPr>
          <w:b/>
          <w:color w:val="1A1A1A"/>
          <w:sz w:val="21"/>
        </w:rPr>
        <w:t>保留原报告的章节框架</w:t>
      </w:r>
      <w:r>
        <w:rPr>
          <w:color w:val="1A1A1A"/>
          <w:sz w:val="21"/>
        </w:rPr>
        <w:t>：第三章</w:t>
      </w:r>
      <w:r>
        <w:rPr>
          <w:color w:val="1A1A1A"/>
          <w:sz w:val="21"/>
        </w:rPr>
        <w:t xml:space="preserve"> 3.1—3.3</w:t>
      </w:r>
      <w:r>
        <w:rPr>
          <w:color w:val="1A1A1A"/>
          <w:sz w:val="21"/>
        </w:rPr>
        <w:t>、第四章</w:t>
      </w:r>
      <w:r>
        <w:rPr>
          <w:color w:val="1A1A1A"/>
          <w:sz w:val="21"/>
        </w:rPr>
        <w:t xml:space="preserve"> 4.1—4.5</w:t>
      </w:r>
      <w:r>
        <w:rPr>
          <w:color w:val="1A1A1A"/>
          <w:sz w:val="21"/>
        </w:rPr>
        <w:t>、第五章</w:t>
      </w:r>
      <w:r>
        <w:rPr>
          <w:color w:val="1A1A1A"/>
          <w:sz w:val="21"/>
        </w:rPr>
        <w:t xml:space="preserve"> 5.1—5.5</w:t>
      </w:r>
      <w:r>
        <w:rPr>
          <w:color w:val="1A1A1A"/>
          <w:sz w:val="21"/>
        </w:rPr>
        <w:t>、第六章</w:t>
      </w:r>
      <w:r>
        <w:rPr>
          <w:color w:val="1A1A1A"/>
          <w:sz w:val="21"/>
        </w:rPr>
        <w:t xml:space="preserve"> 6.1—6.3 </w:t>
      </w:r>
      <w:r>
        <w:rPr>
          <w:color w:val="1A1A1A"/>
          <w:sz w:val="21"/>
        </w:rPr>
        <w:t>的二级结构与次序完全一致。在此前提下有四类贴合实际的调整，均需在合并时知悉。</w:t>
      </w:r>
    </w:p>
    <w:p>
      <w:pPr>
        <w:spacing w:line="420" w:lineRule="auto"/>
        <w:jc w:val="both"/>
      </w:pPr>
      <w:r>
        <w:rPr>
          <w:b/>
          <w:color w:val="1A1A1A"/>
          <w:sz w:val="21"/>
        </w:rPr>
        <w:t>其一，三级条目有两处标题微调。</w:t>
      </w:r>
      <w:r>
        <w:rPr>
          <w:color w:val="1A1A1A"/>
          <w:sz w:val="21"/>
        </w:rPr>
        <w:t xml:space="preserve">4.3.5 </w:t>
      </w:r>
      <w:r>
        <w:rPr>
          <w:color w:val="1A1A1A"/>
          <w:sz w:val="21"/>
        </w:rPr>
        <w:t>由</w:t>
      </w:r>
      <w:r>
        <w:rPr>
          <w:color w:val="1A1A1A"/>
          <w:sz w:val="21"/>
        </w:rPr>
        <w:t>“</w:t>
      </w:r>
      <w:r>
        <w:rPr>
          <w:color w:val="1A1A1A"/>
          <w:sz w:val="21"/>
        </w:rPr>
        <w:t>前后端双实现与一致性验证</w:t>
      </w:r>
      <w:r>
        <w:rPr>
          <w:color w:val="1A1A1A"/>
          <w:sz w:val="21"/>
        </w:rPr>
        <w:t>”</w:t>
      </w:r>
      <w:r>
        <w:rPr>
          <w:color w:val="1A1A1A"/>
          <w:sz w:val="21"/>
        </w:rPr>
        <w:t>改为</w:t>
      </w:r>
      <w:r>
        <w:rPr>
          <w:color w:val="1A1A1A"/>
          <w:sz w:val="21"/>
        </w:rPr>
        <w:t>“</w:t>
      </w:r>
      <w:r>
        <w:rPr>
          <w:color w:val="1A1A1A"/>
          <w:sz w:val="21"/>
        </w:rPr>
        <w:t>前后端职责边界与一致性验证</w:t>
      </w:r>
      <w:r>
        <w:rPr>
          <w:color w:val="1A1A1A"/>
          <w:sz w:val="21"/>
        </w:rPr>
        <w:t>”</w:t>
      </w:r>
      <w:r>
        <w:rPr>
          <w:color w:val="1A1A1A"/>
          <w:sz w:val="21"/>
        </w:rPr>
        <w:t>（新工程为单一后端，不存在双实现）；</w:t>
      </w:r>
      <w:r>
        <w:rPr>
          <w:color w:val="1A1A1A"/>
          <w:sz w:val="21"/>
        </w:rPr>
        <w:t xml:space="preserve">5.5.1 </w:t>
      </w:r>
      <w:r>
        <w:rPr>
          <w:color w:val="1A1A1A"/>
          <w:sz w:val="21"/>
        </w:rPr>
        <w:t>由</w:t>
      </w:r>
      <w:r>
        <w:rPr>
          <w:color w:val="1A1A1A"/>
          <w:sz w:val="21"/>
        </w:rPr>
        <w:t>“</w:t>
      </w:r>
      <w:r>
        <w:rPr>
          <w:color w:val="1A1A1A"/>
          <w:sz w:val="21"/>
        </w:rPr>
        <w:t>五层自动化验证体系</w:t>
      </w:r>
      <w:r>
        <w:rPr>
          <w:color w:val="1A1A1A"/>
          <w:sz w:val="21"/>
        </w:rPr>
        <w:t>”</w:t>
      </w:r>
      <w:r>
        <w:rPr>
          <w:color w:val="1A1A1A"/>
          <w:sz w:val="21"/>
        </w:rPr>
        <w:t>改为</w:t>
      </w:r>
      <w:r>
        <w:rPr>
          <w:color w:val="1A1A1A"/>
          <w:sz w:val="21"/>
        </w:rPr>
        <w:t>“</w:t>
      </w:r>
      <w:r>
        <w:rPr>
          <w:color w:val="1A1A1A"/>
          <w:sz w:val="21"/>
        </w:rPr>
        <w:t>自动化验证体系</w:t>
      </w:r>
      <w:r>
        <w:rPr>
          <w:color w:val="1A1A1A"/>
          <w:sz w:val="21"/>
        </w:rPr>
        <w:t>”</w:t>
      </w:r>
      <w:r>
        <w:rPr>
          <w:color w:val="1A1A1A"/>
          <w:sz w:val="21"/>
        </w:rPr>
        <w:t>（新工程为</w:t>
      </w:r>
      <w:r>
        <w:rPr>
          <w:color w:val="1A1A1A"/>
          <w:sz w:val="21"/>
        </w:rPr>
        <w:t xml:space="preserve"> pytest </w:t>
      </w:r>
      <w:r>
        <w:rPr>
          <w:color w:val="1A1A1A"/>
          <w:sz w:val="21"/>
        </w:rPr>
        <w:t>单元测试体系）；</w:t>
      </w:r>
      <w:r>
        <w:rPr>
          <w:color w:val="1A1A1A"/>
          <w:sz w:val="21"/>
        </w:rPr>
        <w:t xml:space="preserve">5.4.3 </w:t>
      </w:r>
      <w:r>
        <w:rPr>
          <w:color w:val="1A1A1A"/>
          <w:sz w:val="21"/>
        </w:rPr>
        <w:t>由</w:t>
      </w:r>
      <w:r>
        <w:rPr>
          <w:color w:val="1A1A1A"/>
          <w:sz w:val="21"/>
        </w:rPr>
        <w:t>“</w:t>
      </w:r>
      <w:r>
        <w:rPr>
          <w:color w:val="1A1A1A"/>
          <w:sz w:val="21"/>
        </w:rPr>
        <w:t>局限说明</w:t>
      </w:r>
      <w:r>
        <w:rPr>
          <w:color w:val="1A1A1A"/>
          <w:sz w:val="21"/>
        </w:rPr>
        <w:t>”</w:t>
      </w:r>
      <w:r>
        <w:rPr>
          <w:color w:val="1A1A1A"/>
          <w:sz w:val="21"/>
        </w:rPr>
        <w:t>改为</w:t>
      </w:r>
      <w:r>
        <w:rPr>
          <w:color w:val="1A1A1A"/>
          <w:sz w:val="21"/>
        </w:rPr>
        <w:t>“</w:t>
      </w:r>
      <w:r>
        <w:rPr>
          <w:color w:val="1A1A1A"/>
          <w:sz w:val="21"/>
        </w:rPr>
        <w:t>预测精度的说明：为何不报告精度指标</w:t>
      </w:r>
      <w:r>
        <w:rPr>
          <w:color w:val="1A1A1A"/>
          <w:sz w:val="21"/>
        </w:rPr>
        <w:t>”</w:t>
      </w:r>
      <w:r>
        <w:rPr>
          <w:color w:val="1A1A1A"/>
          <w:sz w:val="21"/>
        </w:rPr>
        <w:t>，标题与内容一致化。</w:t>
      </w:r>
    </w:p>
    <w:p>
      <w:pPr>
        <w:spacing w:line="420" w:lineRule="auto"/>
        <w:jc w:val="both"/>
      </w:pPr>
      <w:r>
        <w:rPr>
          <w:b/>
          <w:color w:val="1A1A1A"/>
          <w:sz w:val="21"/>
        </w:rPr>
        <w:t>其二，第三章 3.2 下增加两个三级条目（3.2.6、3.2.7）。</w:t>
      </w:r>
      <w:r>
        <w:rPr>
          <w:color w:val="1A1A1A"/>
          <w:sz w:val="21"/>
        </w:rPr>
        <w:t>原框架</w:t>
      </w:r>
      <w:r>
        <w:rPr>
          <w:color w:val="1A1A1A"/>
          <w:sz w:val="21"/>
        </w:rPr>
        <w:t xml:space="preserve"> 3.2 </w:t>
      </w:r>
      <w:r>
        <w:rPr>
          <w:color w:val="1A1A1A"/>
          <w:sz w:val="21"/>
        </w:rPr>
        <w:t>下设五个条目（</w:t>
      </w:r>
      <w:r>
        <w:rPr>
          <w:color w:val="1A1A1A"/>
          <w:sz w:val="21"/>
        </w:rPr>
        <w:t>3.2.1—3.2.5</w:t>
      </w:r>
      <w:r>
        <w:rPr>
          <w:color w:val="1A1A1A"/>
          <w:sz w:val="21"/>
        </w:rPr>
        <w:t>）。平台建设过程中形成的两条贯穿性约束</w:t>
      </w:r>
      <w:r>
        <w:rPr>
          <w:color w:val="1A1A1A"/>
          <w:sz w:val="21"/>
        </w:rPr>
        <w:t>——“</w:t>
      </w:r>
      <w:r>
        <w:rPr>
          <w:color w:val="1A1A1A"/>
          <w:sz w:val="21"/>
        </w:rPr>
        <w:t>数据不足时拒绝输出</w:t>
      </w:r>
      <w:r>
        <w:rPr>
          <w:color w:val="1A1A1A"/>
          <w:sz w:val="21"/>
        </w:rPr>
        <w:t>”</w:t>
      </w:r>
      <w:r>
        <w:rPr>
          <w:color w:val="1A1A1A"/>
          <w:sz w:val="21"/>
        </w:rPr>
        <w:t>与</w:t>
      </w:r>
      <w:r>
        <w:rPr>
          <w:color w:val="1A1A1A"/>
          <w:sz w:val="21"/>
        </w:rPr>
        <w:t>“</w:t>
      </w:r>
      <w:r>
        <w:rPr>
          <w:color w:val="1A1A1A"/>
          <w:sz w:val="21"/>
        </w:rPr>
        <w:t>高影响建议必须人工审批</w:t>
      </w:r>
      <w:r>
        <w:rPr>
          <w:color w:val="1A1A1A"/>
          <w:sz w:val="21"/>
        </w:rPr>
        <w:t>”——</w:t>
      </w:r>
      <w:r>
        <w:rPr>
          <w:color w:val="1A1A1A"/>
          <w:sz w:val="21"/>
        </w:rPr>
        <w:t>在原框架中没有承载位置，故补为</w:t>
      </w:r>
      <w:r>
        <w:rPr>
          <w:color w:val="1A1A1A"/>
          <w:sz w:val="21"/>
        </w:rPr>
        <w:t xml:space="preserve"> 3.2.6 </w:t>
      </w:r>
      <w:r>
        <w:rPr>
          <w:color w:val="1A1A1A"/>
          <w:sz w:val="21"/>
        </w:rPr>
        <w:t>与</w:t>
      </w:r>
      <w:r>
        <w:rPr>
          <w:color w:val="1A1A1A"/>
          <w:sz w:val="21"/>
        </w:rPr>
        <w:t xml:space="preserve"> 3.2.7</w:t>
      </w:r>
      <w:r>
        <w:rPr>
          <w:color w:val="1A1A1A"/>
          <w:sz w:val="21"/>
        </w:rPr>
        <w:t>。这两节内容被后续章节多处交叉引用（</w:t>
      </w:r>
      <w:r>
        <w:rPr>
          <w:color w:val="1A1A1A"/>
          <w:sz w:val="21"/>
        </w:rPr>
        <w:t xml:space="preserve">3.2.6 </w:t>
      </w:r>
      <w:r>
        <w:rPr>
          <w:color w:val="1A1A1A"/>
          <w:sz w:val="21"/>
        </w:rPr>
        <w:t>被</w:t>
      </w:r>
      <w:r>
        <w:rPr>
          <w:color w:val="1A1A1A"/>
          <w:sz w:val="21"/>
        </w:rPr>
        <w:t xml:space="preserve"> 4.4.5</w:t>
      </w:r>
      <w:r>
        <w:rPr>
          <w:color w:val="1A1A1A"/>
          <w:sz w:val="21"/>
        </w:rPr>
        <w:t>、</w:t>
      </w:r>
      <w:r>
        <w:rPr>
          <w:color w:val="1A1A1A"/>
          <w:sz w:val="21"/>
        </w:rPr>
        <w:t xml:space="preserve">5.5.3 </w:t>
      </w:r>
      <w:r>
        <w:rPr>
          <w:color w:val="1A1A1A"/>
          <w:sz w:val="21"/>
        </w:rPr>
        <w:t>引用；</w:t>
      </w:r>
      <w:r>
        <w:rPr>
          <w:color w:val="1A1A1A"/>
          <w:sz w:val="21"/>
        </w:rPr>
        <w:t xml:space="preserve">3.2.7 </w:t>
      </w:r>
      <w:r>
        <w:rPr>
          <w:color w:val="1A1A1A"/>
          <w:sz w:val="21"/>
        </w:rPr>
        <w:t>被</w:t>
      </w:r>
      <w:r>
        <w:rPr>
          <w:color w:val="1A1A1A"/>
          <w:sz w:val="21"/>
        </w:rPr>
        <w:t xml:space="preserve"> 4.2.5</w:t>
      </w:r>
      <w:r>
        <w:rPr>
          <w:color w:val="1A1A1A"/>
          <w:sz w:val="21"/>
        </w:rPr>
        <w:t>、</w:t>
      </w:r>
      <w:r>
        <w:rPr>
          <w:color w:val="1A1A1A"/>
          <w:sz w:val="21"/>
        </w:rPr>
        <w:t>5.5.4</w:t>
      </w:r>
      <w:r>
        <w:rPr>
          <w:color w:val="1A1A1A"/>
          <w:sz w:val="21"/>
        </w:rPr>
        <w:t>、</w:t>
      </w:r>
      <w:r>
        <w:rPr>
          <w:color w:val="1A1A1A"/>
          <w:sz w:val="21"/>
        </w:rPr>
        <w:t xml:space="preserve">6.3 </w:t>
      </w:r>
      <w:r>
        <w:rPr>
          <w:color w:val="1A1A1A"/>
          <w:sz w:val="21"/>
        </w:rPr>
        <w:t>引用），删除后文将失去依据，因此建议保留。</w:t>
      </w:r>
    </w:p>
    <w:p>
      <w:pPr>
        <w:spacing w:line="420" w:lineRule="auto"/>
        <w:jc w:val="both"/>
      </w:pPr>
      <w:r>
        <w:rPr>
          <w:b/>
          <w:color w:val="1A1A1A"/>
          <w:sz w:val="21"/>
        </w:rPr>
        <w:t>其三，正文前增加一节“数据性质与来源说明”。</w:t>
      </w:r>
      <w:r>
        <w:rPr>
          <w:color w:val="1A1A1A"/>
          <w:sz w:val="21"/>
        </w:rPr>
        <w:t>该节是数据免责声明的正文版本，性质对应原文附录</w:t>
      </w:r>
      <w:r>
        <w:rPr>
          <w:color w:val="1A1A1A"/>
          <w:sz w:val="21"/>
        </w:rPr>
        <w:t xml:space="preserve"> B </w:t>
      </w:r>
      <w:r>
        <w:rPr>
          <w:color w:val="1A1A1A"/>
          <w:sz w:val="21"/>
        </w:rPr>
        <w:t>的</w:t>
      </w:r>
      <w:r>
        <w:rPr>
          <w:color w:val="1A1A1A"/>
          <w:sz w:val="21"/>
        </w:rPr>
        <w:t>“</w:t>
      </w:r>
      <w:r>
        <w:rPr>
          <w:color w:val="1A1A1A"/>
          <w:sz w:val="21"/>
        </w:rPr>
        <w:t>数据免责声明</w:t>
      </w:r>
      <w:r>
        <w:rPr>
          <w:color w:val="1A1A1A"/>
          <w:sz w:val="21"/>
        </w:rPr>
        <w:t>”</w:t>
      </w:r>
      <w:r>
        <w:rPr>
          <w:color w:val="1A1A1A"/>
          <w:sz w:val="21"/>
        </w:rPr>
        <w:t>。合并时建议将其移至报告前置部分（摘要与目录之后、第一章之前），或与附录</w:t>
      </w:r>
      <w:r>
        <w:rPr>
          <w:color w:val="1A1A1A"/>
          <w:sz w:val="21"/>
        </w:rPr>
        <w:t xml:space="preserve"> B </w:t>
      </w:r>
      <w:r>
        <w:rPr>
          <w:color w:val="1A1A1A"/>
          <w:sz w:val="21"/>
        </w:rPr>
        <w:t>的免责声明合并；若保留在第三章之前，其标题为一级标题，会使目录中出现一个未编号条目，需相应调整目录。</w:t>
      </w:r>
    </w:p>
    <w:p>
      <w:pPr>
        <w:spacing w:line="420" w:lineRule="auto"/>
        <w:jc w:val="both"/>
      </w:pPr>
      <w:r>
        <w:rPr>
          <w:b/>
          <w:color w:val="1A1A1A"/>
          <w:sz w:val="21"/>
        </w:rPr>
        <w:t>其四，正文体裁已按“场景分析报告”规范统一。</w:t>
      </w:r>
      <w:r>
        <w:rPr>
          <w:color w:val="1A1A1A"/>
          <w:sz w:val="21"/>
        </w:rPr>
        <w:t>具体包括：取消原有的彩色提示框与四级标题，一律改为段落叙述；在关键定量段落后补</w:t>
      </w:r>
      <w:r>
        <w:rPr>
          <w:color w:val="1A1A1A"/>
          <w:sz w:val="21"/>
        </w:rPr>
        <w:t>“</w:t>
      </w:r>
      <w:r>
        <w:rPr>
          <w:color w:val="1A1A1A"/>
          <w:sz w:val="21"/>
        </w:rPr>
        <w:t>数据来源：</w:t>
      </w:r>
      <w:r>
        <w:rPr>
          <w:color w:val="1A1A1A"/>
          <w:sz w:val="21"/>
        </w:rPr>
        <w:t>……”</w:t>
      </w:r>
      <w:r>
        <w:rPr>
          <w:color w:val="1A1A1A"/>
          <w:sz w:val="21"/>
        </w:rPr>
        <w:t>独立引注，与原文的引注体例保持一致；清除全部版本比较与开发过程叙述（</w:t>
      </w:r>
      <w:r>
        <w:rPr>
          <w:color w:val="1A1A1A"/>
          <w:sz w:val="21"/>
        </w:rPr>
        <w:t>“</w:t>
      </w:r>
      <w:r>
        <w:rPr>
          <w:color w:val="1A1A1A"/>
          <w:sz w:val="21"/>
        </w:rPr>
        <w:t>与前一版修订稿的差异</w:t>
      </w:r>
      <w:r>
        <w:rPr>
          <w:color w:val="1A1A1A"/>
          <w:sz w:val="21"/>
        </w:rPr>
        <w:t>”“</w:t>
      </w:r>
      <w:r>
        <w:rPr>
          <w:color w:val="1A1A1A"/>
          <w:sz w:val="21"/>
        </w:rPr>
        <w:t>本次撰写过程中</w:t>
      </w:r>
      <w:r>
        <w:rPr>
          <w:color w:val="1A1A1A"/>
          <w:sz w:val="21"/>
        </w:rPr>
        <w:t>”“</w:t>
      </w:r>
      <w:r>
        <w:rPr>
          <w:color w:val="1A1A1A"/>
          <w:sz w:val="21"/>
        </w:rPr>
        <w:t>本轮新增</w:t>
      </w:r>
      <w:r>
        <w:rPr>
          <w:color w:val="1A1A1A"/>
          <w:sz w:val="21"/>
        </w:rPr>
        <w:t>”</w:t>
      </w:r>
      <w:r>
        <w:rPr>
          <w:color w:val="1A1A1A"/>
          <w:sz w:val="21"/>
        </w:rPr>
        <w:t>等），改为报告正文应有的表述。</w:t>
      </w:r>
    </w:p>
    <w:p>
      <w:bookmarkStart w:id="2" w:name="g2"/>
      <w:pPr>
        <w:pStyle w:val="Heading2"/>
      </w:pPr>
      <w:bookmarkEnd w:id="2"/>
      <w:r>
        <w:rPr>
          <w:color w:val="1F4E79"/>
          <w:sz w:val="27"/>
        </w:rPr>
        <w:t>二、与原文相比的主要改动（按重要性排序）</w:t>
      </w:r>
    </w:p>
    <w:tbl>
      <w:tblPr>
        <w:tblW w:type="pct" w:w="5000"/>
        <w:tblLayout w:type="autofit"/>
        <w:tblLook w:firstColumn="1" w:firstRow="1" w:lastColumn="0" w:lastRow="0" w:noHBand="0" w:noVBand="1" w:val="04A0"/>
      </w:tblPr>
      <w:tblGrid>
        <w:gridCol w:w="518"/>
        <w:gridCol w:w="1728"/>
        <w:gridCol w:w="3197"/>
        <w:gridCol w:w="3197"/>
      </w:tblGrid>
      <w:tr>
        <w:tc>
          <w:tcPr>
            <w:tcW w:type="pct" w:w="300"/>
            <w:shd w:fill="EEF3F8" w:val="clear" w:color="auto"/>
            <w:tcBorders>
              <w:top w:val="single" w:sz="6" w:space="0" w:color="B9C7D6"/>
              <w:bottom w:val="single" w:sz="6" w:space="0" w:color="B9C7D6"/>
              <w:left w:val="single" w:sz="6" w:space="0" w:color="B9C7D6"/>
              <w:right w:val="single" w:sz="6" w:space="0" w:color="B9C7D6"/>
            </w:tcBorders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b/>
                <w:color w:val="1F4E79"/>
                <w:sz w:val="18"/>
              </w:rPr>
              <w:t>序</w:t>
            </w:r>
          </w:p>
        </w:tc>
        <w:tc>
          <w:tcPr>
            <w:tcW w:type="pct" w:w="1000"/>
            <w:shd w:fill="EEF3F8" w:val="clear" w:color="auto"/>
            <w:tcBorders>
              <w:top w:val="single" w:sz="6" w:space="0" w:color="B9C7D6"/>
              <w:bottom w:val="single" w:sz="6" w:space="0" w:color="B9C7D6"/>
              <w:left w:val="single" w:sz="6" w:space="0" w:color="B9C7D6"/>
              <w:right w:val="single" w:sz="6" w:space="0" w:color="B9C7D6"/>
            </w:tcBorders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b/>
                <w:color w:val="1F4E79"/>
                <w:sz w:val="18"/>
              </w:rPr>
              <w:t>改动点</w:t>
            </w:r>
          </w:p>
        </w:tc>
        <w:tc>
          <w:tcPr>
            <w:tcW w:type="pct" w:w="1850"/>
            <w:shd w:fill="EEF3F8" w:val="clear" w:color="auto"/>
            <w:tcBorders>
              <w:top w:val="single" w:sz="6" w:space="0" w:color="B9C7D6"/>
              <w:bottom w:val="single" w:sz="6" w:space="0" w:color="B9C7D6"/>
              <w:left w:val="single" w:sz="6" w:space="0" w:color="B9C7D6"/>
              <w:right w:val="single" w:sz="6" w:space="0" w:color="B9C7D6"/>
            </w:tcBorders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b/>
                <w:color w:val="1F4E79"/>
                <w:sz w:val="18"/>
              </w:rPr>
              <w:t>原文表述</w:t>
            </w:r>
          </w:p>
        </w:tc>
        <w:tc>
          <w:tcPr>
            <w:tcW w:type="pct" w:w="1850"/>
            <w:shd w:fill="EEF3F8" w:val="clear" w:color="auto"/>
            <w:tcBorders>
              <w:top w:val="single" w:sz="6" w:space="0" w:color="B9C7D6"/>
              <w:bottom w:val="single" w:sz="6" w:space="0" w:color="B9C7D6"/>
              <w:left w:val="single" w:sz="6" w:space="0" w:color="B9C7D6"/>
              <w:right w:val="single" w:sz="6" w:space="0" w:color="B9C7D6"/>
            </w:tcBorders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b/>
                <w:color w:val="1F4E79"/>
                <w:sz w:val="18"/>
              </w:rPr>
              <w:t>本稿表述</w:t>
            </w:r>
          </w:p>
        </w:tc>
      </w:tr>
      <w:tr>
        <w:tc>
          <w:tcPr>
            <w:tcW w:type="pct" w:w="300"/>
            <w:vAlign w:val="center"/>
            <w:tcBorders>
              <w:top w:val="single" w:sz="6" w:space="0" w:color="B9C7D6"/>
              <w:bottom w:val="single" w:sz="6" w:space="0" w:color="B9C7D6"/>
              <w:left w:val="single" w:sz="6" w:space="0" w:color="B9C7D6"/>
              <w:right w:val="single" w:sz="6" w:space="0" w:color="B9C7D6"/>
            </w:tcBorders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9" w:after="49"/>
            </w:pPr>
            <w:r>
              <w:rPr>
                <w:color w:val="1A1A1A"/>
                <w:sz w:val="18"/>
              </w:rPr>
              <w:t>1</w:t>
            </w:r>
          </w:p>
        </w:tc>
        <w:tc>
          <w:tcPr>
            <w:tcW w:type="pct" w:w="1000"/>
            <w:vAlign w:val="center"/>
            <w:tcBorders>
              <w:top w:val="single" w:sz="6" w:space="0" w:color="B9C7D6"/>
              <w:bottom w:val="single" w:sz="6" w:space="0" w:color="B9C7D6"/>
              <w:left w:val="single" w:sz="6" w:space="0" w:color="B9C7D6"/>
              <w:right w:val="single" w:sz="6" w:space="0" w:color="B9C7D6"/>
            </w:tcBorders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9" w:after="49"/>
            </w:pPr>
            <w:r>
              <w:rPr>
                <w:color w:val="1A1A1A"/>
                <w:sz w:val="18"/>
              </w:rPr>
              <w:t>工程形态</w:t>
            </w:r>
          </w:p>
        </w:tc>
        <w:tc>
          <w:tcPr>
            <w:tcW w:type="pct" w:w="1850"/>
            <w:vAlign w:val="center"/>
            <w:tcBorders>
              <w:top w:val="single" w:sz="6" w:space="0" w:color="B9C7D6"/>
              <w:bottom w:val="single" w:sz="6" w:space="0" w:color="B9C7D6"/>
              <w:left w:val="single" w:sz="6" w:space="0" w:color="B9C7D6"/>
              <w:right w:val="single" w:sz="6" w:space="0" w:color="B9C7D6"/>
            </w:tcBorders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9" w:after="49"/>
            </w:pPr>
            <w:r>
              <w:rPr>
                <w:color w:val="1A1A1A"/>
                <w:sz w:val="18"/>
              </w:rPr>
              <w:t>未明确前端形态；后台为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 xml:space="preserve"> 21 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张表、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 xml:space="preserve">47 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个接口路径</w:t>
            </w:r>
          </w:p>
        </w:tc>
        <w:tc>
          <w:tcPr>
            <w:tcW w:type="pct" w:w="1850"/>
            <w:vAlign w:val="center"/>
            <w:tcBorders>
              <w:top w:val="single" w:sz="6" w:space="0" w:color="B9C7D6"/>
              <w:bottom w:val="single" w:sz="6" w:space="0" w:color="B9C7D6"/>
              <w:left w:val="single" w:sz="6" w:space="0" w:color="B9C7D6"/>
              <w:right w:val="single" w:sz="6" w:space="0" w:color="B9C7D6"/>
            </w:tcBorders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9" w:after="49"/>
            </w:pPr>
            <w:r>
              <w:rPr>
                <w:color w:val="1A1A1A"/>
                <w:sz w:val="18"/>
              </w:rPr>
              <w:t>前端为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 xml:space="preserve"> React 18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＋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 xml:space="preserve">TypeScript 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单页应用（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 xml:space="preserve">12 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个页面）；后端为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 xml:space="preserve"> FastAPI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＋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SQLAlchemy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（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 xml:space="preserve">20 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张表、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 xml:space="preserve">33 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个业务接口、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 xml:space="preserve">13 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个路由模块）</w:t>
            </w:r>
          </w:p>
        </w:tc>
      </w:tr>
      <w:tr>
        <w:tc>
          <w:tcPr>
            <w:tcW w:type="pct" w:w="300"/>
            <w:vAlign w:val="center"/>
            <w:tcBorders>
              <w:top w:val="single" w:sz="6" w:space="0" w:color="B9C7D6"/>
              <w:bottom w:val="single" w:sz="6" w:space="0" w:color="B9C7D6"/>
              <w:left w:val="single" w:sz="6" w:space="0" w:color="B9C7D6"/>
              <w:right w:val="single" w:sz="6" w:space="0" w:color="B9C7D6"/>
            </w:tcBorders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9" w:after="49"/>
            </w:pPr>
            <w:r>
              <w:rPr>
                <w:color w:val="1A1A1A"/>
                <w:sz w:val="18"/>
              </w:rPr>
              <w:t>2</w:t>
            </w:r>
          </w:p>
        </w:tc>
        <w:tc>
          <w:tcPr>
            <w:tcW w:type="pct" w:w="1000"/>
            <w:vAlign w:val="center"/>
            <w:tcBorders>
              <w:top w:val="single" w:sz="6" w:space="0" w:color="B9C7D6"/>
              <w:bottom w:val="single" w:sz="6" w:space="0" w:color="B9C7D6"/>
              <w:left w:val="single" w:sz="6" w:space="0" w:color="B9C7D6"/>
              <w:right w:val="single" w:sz="6" w:space="0" w:color="B9C7D6"/>
            </w:tcBorders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9" w:after="49"/>
            </w:pPr>
            <w:r>
              <w:rPr>
                <w:color w:val="1A1A1A"/>
                <w:sz w:val="18"/>
              </w:rPr>
              <w:t>健康度分值</w:t>
            </w:r>
          </w:p>
        </w:tc>
        <w:tc>
          <w:tcPr>
            <w:tcW w:type="pct" w:w="1850"/>
            <w:vAlign w:val="center"/>
            <w:tcBorders>
              <w:top w:val="single" w:sz="6" w:space="0" w:color="B9C7D6"/>
              <w:bottom w:val="single" w:sz="6" w:space="0" w:color="B9C7D6"/>
              <w:left w:val="single" w:sz="6" w:space="0" w:color="B9C7D6"/>
              <w:right w:val="single" w:sz="6" w:space="0" w:color="B9C7D6"/>
            </w:tcBorders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9" w:after="49"/>
            </w:pPr>
            <w:r>
              <w:rPr>
                <w:color w:val="1A1A1A"/>
                <w:sz w:val="18"/>
              </w:rPr>
              <w:t>沿用旧原型实测值（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100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／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77.7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／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70.6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／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50.3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／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25.4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／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13.5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／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0.6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）</w:t>
            </w:r>
          </w:p>
        </w:tc>
        <w:tc>
          <w:tcPr>
            <w:tcW w:type="pct" w:w="1850"/>
            <w:vAlign w:val="center"/>
            <w:tcBorders>
              <w:top w:val="single" w:sz="6" w:space="0" w:color="B9C7D6"/>
              <w:bottom w:val="single" w:sz="6" w:space="0" w:color="B9C7D6"/>
              <w:left w:val="single" w:sz="6" w:space="0" w:color="B9C7D6"/>
              <w:right w:val="single" w:sz="6" w:space="0" w:color="B9C7D6"/>
            </w:tcBorders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9" w:after="49"/>
            </w:pPr>
            <w:r>
              <w:rPr>
                <w:color w:val="1A1A1A"/>
                <w:sz w:val="18"/>
              </w:rPr>
              <w:t>全部替换为新工程实测值：系统重算轨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 xml:space="preserve"> 91.83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／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91.75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／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64.76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／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43.19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／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32.46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／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10.57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／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2.96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；附件参考轨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 xml:space="preserve"> 78.5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／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73.4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／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71.2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／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65.8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／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58.3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／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48.7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／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42.1</w:t>
            </w:r>
          </w:p>
        </w:tc>
      </w:tr>
      <w:tr>
        <w:tc>
          <w:tcPr>
            <w:tcW w:type="pct" w:w="300"/>
            <w:vAlign w:val="center"/>
            <w:tcBorders>
              <w:top w:val="single" w:sz="6" w:space="0" w:color="B9C7D6"/>
              <w:bottom w:val="single" w:sz="6" w:space="0" w:color="B9C7D6"/>
              <w:left w:val="single" w:sz="6" w:space="0" w:color="B9C7D6"/>
              <w:right w:val="single" w:sz="6" w:space="0" w:color="B9C7D6"/>
            </w:tcBorders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9" w:after="49"/>
            </w:pPr>
            <w:r>
              <w:rPr>
                <w:color w:val="1A1A1A"/>
                <w:sz w:val="18"/>
              </w:rPr>
              <w:t>3</w:t>
            </w:r>
          </w:p>
        </w:tc>
        <w:tc>
          <w:tcPr>
            <w:tcW w:type="pct" w:w="1000"/>
            <w:vAlign w:val="center"/>
            <w:tcBorders>
              <w:top w:val="single" w:sz="6" w:space="0" w:color="B9C7D6"/>
              <w:bottom w:val="single" w:sz="6" w:space="0" w:color="B9C7D6"/>
              <w:left w:val="single" w:sz="6" w:space="0" w:color="B9C7D6"/>
              <w:right w:val="single" w:sz="6" w:space="0" w:color="B9C7D6"/>
            </w:tcBorders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9" w:after="49"/>
            </w:pPr>
            <w:r>
              <w:rPr>
                <w:color w:val="1A1A1A"/>
                <w:sz w:val="18"/>
              </w:rPr>
              <w:t>关联规则数</w:t>
            </w:r>
          </w:p>
        </w:tc>
        <w:tc>
          <w:tcPr>
            <w:tcW w:type="pct" w:w="1850"/>
            <w:vAlign w:val="center"/>
            <w:tcBorders>
              <w:top w:val="single" w:sz="6" w:space="0" w:color="B9C7D6"/>
              <w:bottom w:val="single" w:sz="6" w:space="0" w:color="B9C7D6"/>
              <w:left w:val="single" w:sz="6" w:space="0" w:color="B9C7D6"/>
              <w:right w:val="single" w:sz="6" w:space="0" w:color="B9C7D6"/>
            </w:tcBorders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9" w:after="49"/>
            </w:pPr>
            <w:r>
              <w:rPr>
                <w:color w:val="1A1A1A"/>
                <w:sz w:val="18"/>
              </w:rPr>
              <w:t xml:space="preserve">30 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条规则，提升度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 xml:space="preserve"> 3.771—6.331</w:t>
            </w:r>
          </w:p>
        </w:tc>
        <w:tc>
          <w:tcPr>
            <w:tcW w:type="pct" w:w="1850"/>
            <w:vAlign w:val="center"/>
            <w:tcBorders>
              <w:top w:val="single" w:sz="6" w:space="0" w:color="B9C7D6"/>
              <w:bottom w:val="single" w:sz="6" w:space="0" w:color="B9C7D6"/>
              <w:left w:val="single" w:sz="6" w:space="0" w:color="B9C7D6"/>
              <w:right w:val="single" w:sz="6" w:space="0" w:color="B9C7D6"/>
            </w:tcBorders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9" w:after="49"/>
            </w:pPr>
            <w:r>
              <w:rPr>
                <w:color w:val="1A1A1A"/>
                <w:sz w:val="18"/>
              </w:rPr>
              <w:t>系统重算轨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 xml:space="preserve"> 9 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条（提升度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 xml:space="preserve"> 4.47—6.16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）＋附件参考轨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 xml:space="preserve"> 22 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条（提升度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 xml:space="preserve"> 1.15—2.15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），共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 xml:space="preserve"> 31 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条</w:t>
            </w:r>
          </w:p>
        </w:tc>
      </w:tr>
      <w:tr>
        <w:tc>
          <w:tcPr>
            <w:tcW w:type="pct" w:w="300"/>
            <w:vAlign w:val="center"/>
            <w:tcBorders>
              <w:top w:val="single" w:sz="6" w:space="0" w:color="B9C7D6"/>
              <w:bottom w:val="single" w:sz="6" w:space="0" w:color="B9C7D6"/>
              <w:left w:val="single" w:sz="6" w:space="0" w:color="B9C7D6"/>
              <w:right w:val="single" w:sz="6" w:space="0" w:color="B9C7D6"/>
            </w:tcBorders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9" w:after="49"/>
            </w:pPr>
            <w:r>
              <w:rPr>
                <w:color w:val="1A1A1A"/>
                <w:sz w:val="18"/>
              </w:rPr>
              <w:t>4</w:t>
            </w:r>
          </w:p>
        </w:tc>
        <w:tc>
          <w:tcPr>
            <w:tcW w:type="pct" w:w="1000"/>
            <w:vAlign w:val="center"/>
            <w:tcBorders>
              <w:top w:val="single" w:sz="6" w:space="0" w:color="B9C7D6"/>
              <w:bottom w:val="single" w:sz="6" w:space="0" w:color="B9C7D6"/>
              <w:left w:val="single" w:sz="6" w:space="0" w:color="B9C7D6"/>
              <w:right w:val="single" w:sz="6" w:space="0" w:color="B9C7D6"/>
            </w:tcBorders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9" w:after="49"/>
            </w:pPr>
            <w:r>
              <w:rPr>
                <w:color w:val="1A1A1A"/>
                <w:sz w:val="18"/>
              </w:rPr>
              <w:t>算法口径</w:t>
            </w:r>
          </w:p>
        </w:tc>
        <w:tc>
          <w:tcPr>
            <w:tcW w:type="pct" w:w="1850"/>
            <w:vAlign w:val="center"/>
            <w:tcBorders>
              <w:top w:val="single" w:sz="6" w:space="0" w:color="B9C7D6"/>
              <w:bottom w:val="single" w:sz="6" w:space="0" w:color="B9C7D6"/>
              <w:left w:val="single" w:sz="6" w:space="0" w:color="B9C7D6"/>
              <w:right w:val="single" w:sz="6" w:space="0" w:color="B9C7D6"/>
            </w:tcBorders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9" w:after="49"/>
            </w:pPr>
            <w:r>
              <w:rPr>
                <w:color w:val="1A1A1A"/>
                <w:sz w:val="18"/>
              </w:rPr>
              <w:t>健康度采用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 xml:space="preserve">“5%—95% 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分位边界收敛＋相对标准化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 xml:space="preserve"> 60%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＋行业基准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 xml:space="preserve"> 40%”</w:t>
            </w:r>
          </w:p>
        </w:tc>
        <w:tc>
          <w:tcPr>
            <w:tcW w:type="pct" w:w="1850"/>
            <w:vAlign w:val="center"/>
            <w:tcBorders>
              <w:top w:val="single" w:sz="6" w:space="0" w:color="B9C7D6"/>
              <w:bottom w:val="single" w:sz="6" w:space="0" w:color="B9C7D6"/>
              <w:left w:val="single" w:sz="6" w:space="0" w:color="B9C7D6"/>
              <w:right w:val="single" w:sz="6" w:space="0" w:color="B9C7D6"/>
            </w:tcBorders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9" w:after="49"/>
            </w:pPr>
            <w:r>
              <w:rPr>
                <w:color w:val="1A1A1A"/>
                <w:sz w:val="18"/>
              </w:rPr>
              <w:t>改为纯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 xml:space="preserve"> Min-Max 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相对标准化（对标域为本店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 xml:space="preserve"> 7 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个品类），并确立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“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分子分母同口径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”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不变式；不叠加行业基准分。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 xml:space="preserve">5.3.3 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完整记录了修复前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 xml:space="preserve"> 240—938 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分越界的缺陷与根因</w:t>
            </w:r>
          </w:p>
        </w:tc>
      </w:tr>
      <w:tr>
        <w:tc>
          <w:tcPr>
            <w:tcW w:type="pct" w:w="300"/>
            <w:vAlign w:val="center"/>
            <w:tcBorders>
              <w:top w:val="single" w:sz="6" w:space="0" w:color="B9C7D6"/>
              <w:bottom w:val="single" w:sz="6" w:space="0" w:color="B9C7D6"/>
              <w:left w:val="single" w:sz="6" w:space="0" w:color="B9C7D6"/>
              <w:right w:val="single" w:sz="6" w:space="0" w:color="B9C7D6"/>
            </w:tcBorders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9" w:after="49"/>
            </w:pPr>
            <w:r>
              <w:rPr>
                <w:color w:val="1A1A1A"/>
                <w:sz w:val="18"/>
              </w:rPr>
              <w:t>5</w:t>
            </w:r>
          </w:p>
        </w:tc>
        <w:tc>
          <w:tcPr>
            <w:tcW w:type="pct" w:w="1000"/>
            <w:vAlign w:val="center"/>
            <w:tcBorders>
              <w:top w:val="single" w:sz="6" w:space="0" w:color="B9C7D6"/>
              <w:bottom w:val="single" w:sz="6" w:space="0" w:color="B9C7D6"/>
              <w:left w:val="single" w:sz="6" w:space="0" w:color="B9C7D6"/>
              <w:right w:val="single" w:sz="6" w:space="0" w:color="B9C7D6"/>
            </w:tcBorders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9" w:after="49"/>
            </w:pPr>
            <w:r>
              <w:rPr>
                <w:color w:val="1A1A1A"/>
                <w:sz w:val="18"/>
              </w:rPr>
              <w:t>需求预测</w:t>
            </w:r>
          </w:p>
        </w:tc>
        <w:tc>
          <w:tcPr>
            <w:tcW w:type="pct" w:w="1850"/>
            <w:vAlign w:val="center"/>
            <w:tcBorders>
              <w:top w:val="single" w:sz="6" w:space="0" w:color="B9C7D6"/>
              <w:bottom w:val="single" w:sz="6" w:space="0" w:color="B9C7D6"/>
              <w:left w:val="single" w:sz="6" w:space="0" w:color="B9C7D6"/>
              <w:right w:val="single" w:sz="6" w:space="0" w:color="B9C7D6"/>
            </w:tcBorders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9" w:after="49"/>
            </w:pPr>
            <w:r>
              <w:rPr>
                <w:color w:val="1A1A1A"/>
                <w:sz w:val="18"/>
              </w:rPr>
              <w:t>引用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 xml:space="preserve"> UCI 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公开数据集的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 xml:space="preserve"> MAPE 12%—18%</w:t>
            </w:r>
          </w:p>
        </w:tc>
        <w:tc>
          <w:tcPr>
            <w:tcW w:type="pct" w:w="1850"/>
            <w:vAlign w:val="center"/>
            <w:tcBorders>
              <w:top w:val="single" w:sz="6" w:space="0" w:color="B9C7D6"/>
              <w:bottom w:val="single" w:sz="6" w:space="0" w:color="B9C7D6"/>
              <w:left w:val="single" w:sz="6" w:space="0" w:color="B9C7D6"/>
              <w:right w:val="single" w:sz="6" w:space="0" w:color="B9C7D6"/>
            </w:tcBorders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9" w:after="49"/>
            </w:pPr>
            <w:r>
              <w:rPr>
                <w:b/>
                <w:color w:val="1A1A1A"/>
                <w:sz w:val="18"/>
              </w:rPr>
              <w:t>不再沿用该精度指标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，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 xml:space="preserve">5.4.3 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给出三条理由（未做样本外回测、序列仅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 xml:space="preserve"> 12 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期、模型无季节项）</w:t>
            </w:r>
          </w:p>
        </w:tc>
      </w:tr>
      <w:tr>
        <w:tc>
          <w:tcPr>
            <w:tcW w:type="pct" w:w="300"/>
            <w:vAlign w:val="center"/>
            <w:tcBorders>
              <w:top w:val="single" w:sz="6" w:space="0" w:color="B9C7D6"/>
              <w:bottom w:val="single" w:sz="6" w:space="0" w:color="B9C7D6"/>
              <w:left w:val="single" w:sz="6" w:space="0" w:color="B9C7D6"/>
              <w:right w:val="single" w:sz="6" w:space="0" w:color="B9C7D6"/>
            </w:tcBorders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9" w:after="49"/>
            </w:pPr>
            <w:r>
              <w:rPr>
                <w:color w:val="1A1A1A"/>
                <w:sz w:val="18"/>
              </w:rPr>
              <w:t>6</w:t>
            </w:r>
          </w:p>
        </w:tc>
        <w:tc>
          <w:tcPr>
            <w:tcW w:type="pct" w:w="1000"/>
            <w:vAlign w:val="center"/>
            <w:tcBorders>
              <w:top w:val="single" w:sz="6" w:space="0" w:color="B9C7D6"/>
              <w:bottom w:val="single" w:sz="6" w:space="0" w:color="B9C7D6"/>
              <w:left w:val="single" w:sz="6" w:space="0" w:color="B9C7D6"/>
              <w:right w:val="single" w:sz="6" w:space="0" w:color="B9C7D6"/>
            </w:tcBorders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9" w:after="49"/>
            </w:pPr>
            <w:r>
              <w:rPr>
                <w:color w:val="1A1A1A"/>
                <w:sz w:val="18"/>
              </w:rPr>
              <w:t xml:space="preserve">Apriori 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能力边界</w:t>
            </w:r>
          </w:p>
        </w:tc>
        <w:tc>
          <w:tcPr>
            <w:tcW w:type="pct" w:w="1850"/>
            <w:vAlign w:val="center"/>
            <w:tcBorders>
              <w:top w:val="single" w:sz="6" w:space="0" w:color="B9C7D6"/>
              <w:bottom w:val="single" w:sz="6" w:space="0" w:color="B9C7D6"/>
              <w:left w:val="single" w:sz="6" w:space="0" w:color="B9C7D6"/>
              <w:right w:val="single" w:sz="6" w:space="0" w:color="B9C7D6"/>
            </w:tcBorders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9" w:after="49"/>
            </w:pPr>
            <w:r>
              <w:rPr>
                <w:color w:val="1A1A1A"/>
                <w:sz w:val="18"/>
              </w:rPr>
              <w:t>未提及</w:t>
            </w:r>
          </w:p>
        </w:tc>
        <w:tc>
          <w:tcPr>
            <w:tcW w:type="pct" w:w="1850"/>
            <w:vAlign w:val="center"/>
            <w:tcBorders>
              <w:top w:val="single" w:sz="6" w:space="0" w:color="B9C7D6"/>
              <w:bottom w:val="single" w:sz="6" w:space="0" w:color="B9C7D6"/>
              <w:left w:val="single" w:sz="6" w:space="0" w:color="B9C7D6"/>
              <w:right w:val="single" w:sz="6" w:space="0" w:color="B9C7D6"/>
            </w:tcBorders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9" w:after="49"/>
            </w:pPr>
            <w:r>
              <w:rPr>
                <w:color w:val="1A1A1A"/>
                <w:sz w:val="18"/>
              </w:rPr>
              <w:t>明确声明当前频繁项集只计算到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 xml:space="preserve"> 2 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项集，只能生成二元规则，不能生成三品组合</w:t>
            </w:r>
          </w:p>
        </w:tc>
      </w:tr>
      <w:tr>
        <w:tc>
          <w:tcPr>
            <w:tcW w:type="pct" w:w="300"/>
            <w:vAlign w:val="center"/>
            <w:tcBorders>
              <w:top w:val="single" w:sz="6" w:space="0" w:color="B9C7D6"/>
              <w:bottom w:val="single" w:sz="6" w:space="0" w:color="B9C7D6"/>
              <w:left w:val="single" w:sz="6" w:space="0" w:color="B9C7D6"/>
              <w:right w:val="single" w:sz="6" w:space="0" w:color="B9C7D6"/>
            </w:tcBorders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9" w:after="49"/>
            </w:pPr>
            <w:r>
              <w:rPr>
                <w:color w:val="1A1A1A"/>
                <w:sz w:val="18"/>
              </w:rPr>
              <w:t>7</w:t>
            </w:r>
          </w:p>
        </w:tc>
        <w:tc>
          <w:tcPr>
            <w:tcW w:type="pct" w:w="1000"/>
            <w:vAlign w:val="center"/>
            <w:tcBorders>
              <w:top w:val="single" w:sz="6" w:space="0" w:color="B9C7D6"/>
              <w:bottom w:val="single" w:sz="6" w:space="0" w:color="B9C7D6"/>
              <w:left w:val="single" w:sz="6" w:space="0" w:color="B9C7D6"/>
              <w:right w:val="single" w:sz="6" w:space="0" w:color="B9C7D6"/>
            </w:tcBorders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9" w:after="49"/>
            </w:pPr>
            <w:r>
              <w:rPr>
                <w:color w:val="1A1A1A"/>
                <w:sz w:val="18"/>
              </w:rPr>
              <w:t>测试体系</w:t>
            </w:r>
          </w:p>
        </w:tc>
        <w:tc>
          <w:tcPr>
            <w:tcW w:type="pct" w:w="1850"/>
            <w:vAlign w:val="center"/>
            <w:tcBorders>
              <w:top w:val="single" w:sz="6" w:space="0" w:color="B9C7D6"/>
              <w:bottom w:val="single" w:sz="6" w:space="0" w:color="B9C7D6"/>
              <w:left w:val="single" w:sz="6" w:space="0" w:color="B9C7D6"/>
              <w:right w:val="single" w:sz="6" w:space="0" w:color="B9C7D6"/>
            </w:tcBorders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9" w:after="49"/>
            </w:pPr>
            <w:r>
              <w:rPr>
                <w:color w:val="1A1A1A"/>
                <w:sz w:val="18"/>
              </w:rPr>
              <w:t>五层自动化验证体系</w:t>
            </w:r>
          </w:p>
        </w:tc>
        <w:tc>
          <w:tcPr>
            <w:tcW w:type="pct" w:w="1850"/>
            <w:vAlign w:val="center"/>
            <w:tcBorders>
              <w:top w:val="single" w:sz="6" w:space="0" w:color="B9C7D6"/>
              <w:bottom w:val="single" w:sz="6" w:space="0" w:color="B9C7D6"/>
              <w:left w:val="single" w:sz="6" w:space="0" w:color="B9C7D6"/>
              <w:right w:val="single" w:sz="6" w:space="0" w:color="B9C7D6"/>
            </w:tcBorders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9" w:after="49"/>
            </w:pPr>
            <w:r>
              <w:rPr>
                <w:color w:val="1A1A1A"/>
                <w:sz w:val="18"/>
              </w:rPr>
              <w:t xml:space="preserve">pytest 14 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项测试（原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 xml:space="preserve"> 11 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项＋新增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 xml:space="preserve"> 3 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项回归），并说明测试清理逻辑的加固</w:t>
            </w:r>
          </w:p>
        </w:tc>
      </w:tr>
      <w:tr>
        <w:tc>
          <w:tcPr>
            <w:tcW w:type="pct" w:w="300"/>
            <w:vAlign w:val="center"/>
            <w:tcBorders>
              <w:top w:val="single" w:sz="6" w:space="0" w:color="B9C7D6"/>
              <w:bottom w:val="single" w:sz="6" w:space="0" w:color="B9C7D6"/>
              <w:left w:val="single" w:sz="6" w:space="0" w:color="B9C7D6"/>
              <w:right w:val="single" w:sz="6" w:space="0" w:color="B9C7D6"/>
            </w:tcBorders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9" w:after="49"/>
            </w:pPr>
            <w:r>
              <w:rPr>
                <w:color w:val="1A1A1A"/>
                <w:sz w:val="18"/>
              </w:rPr>
              <w:t>8</w:t>
            </w:r>
          </w:p>
        </w:tc>
        <w:tc>
          <w:tcPr>
            <w:tcW w:type="pct" w:w="1000"/>
            <w:vAlign w:val="center"/>
            <w:tcBorders>
              <w:top w:val="single" w:sz="6" w:space="0" w:color="B9C7D6"/>
              <w:bottom w:val="single" w:sz="6" w:space="0" w:color="B9C7D6"/>
              <w:left w:val="single" w:sz="6" w:space="0" w:color="B9C7D6"/>
              <w:right w:val="single" w:sz="6" w:space="0" w:color="B9C7D6"/>
            </w:tcBorders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9" w:after="49"/>
            </w:pPr>
            <w:r>
              <w:rPr>
                <w:color w:val="1A1A1A"/>
                <w:sz w:val="18"/>
              </w:rPr>
              <w:t>大模型与鉴权</w:t>
            </w:r>
          </w:p>
        </w:tc>
        <w:tc>
          <w:tcPr>
            <w:tcW w:type="pct" w:w="1850"/>
            <w:vAlign w:val="center"/>
            <w:tcBorders>
              <w:top w:val="single" w:sz="6" w:space="0" w:color="B9C7D6"/>
              <w:bottom w:val="single" w:sz="6" w:space="0" w:color="B9C7D6"/>
              <w:left w:val="single" w:sz="6" w:space="0" w:color="B9C7D6"/>
              <w:right w:val="single" w:sz="6" w:space="0" w:color="B9C7D6"/>
            </w:tcBorders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9" w:after="49"/>
            </w:pPr>
            <w:r>
              <w:rPr>
                <w:color w:val="1A1A1A"/>
                <w:sz w:val="18"/>
              </w:rPr>
              <w:t>未明确</w:t>
            </w:r>
          </w:p>
        </w:tc>
        <w:tc>
          <w:tcPr>
            <w:tcW w:type="pct" w:w="1850"/>
            <w:vAlign w:val="center"/>
            <w:tcBorders>
              <w:top w:val="single" w:sz="6" w:space="0" w:color="B9C7D6"/>
              <w:bottom w:val="single" w:sz="6" w:space="0" w:color="B9C7D6"/>
              <w:left w:val="single" w:sz="6" w:space="0" w:color="B9C7D6"/>
              <w:right w:val="single" w:sz="6" w:space="0" w:color="B9C7D6"/>
            </w:tcBorders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9" w:after="49"/>
            </w:pPr>
            <w:r>
              <w:rPr>
                <w:color w:val="1A1A1A"/>
                <w:sz w:val="18"/>
              </w:rPr>
              <w:t>按平台架构表述：交互推理层由讯飞星辰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 xml:space="preserve"> Agent 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承载，通过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 xml:space="preserve"> 10 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个内置工具调用后端；统一鉴权列为第一阶段落地项</w:t>
            </w:r>
          </w:p>
        </w:tc>
      </w:tr>
      <w:tr>
        <w:tc>
          <w:tcPr>
            <w:tcW w:type="pct" w:w="300"/>
            <w:vAlign w:val="center"/>
            <w:tcBorders>
              <w:top w:val="single" w:sz="6" w:space="0" w:color="B9C7D6"/>
              <w:bottom w:val="single" w:sz="6" w:space="0" w:color="B9C7D6"/>
              <w:left w:val="single" w:sz="6" w:space="0" w:color="B9C7D6"/>
              <w:right w:val="single" w:sz="6" w:space="0" w:color="B9C7D6"/>
            </w:tcBorders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9" w:after="49"/>
            </w:pPr>
            <w:r>
              <w:rPr>
                <w:color w:val="1A1A1A"/>
                <w:sz w:val="18"/>
              </w:rPr>
              <w:t>9</w:t>
            </w:r>
          </w:p>
        </w:tc>
        <w:tc>
          <w:tcPr>
            <w:tcW w:type="pct" w:w="1000"/>
            <w:vAlign w:val="center"/>
            <w:tcBorders>
              <w:top w:val="single" w:sz="6" w:space="0" w:color="B9C7D6"/>
              <w:bottom w:val="single" w:sz="6" w:space="0" w:color="B9C7D6"/>
              <w:left w:val="single" w:sz="6" w:space="0" w:color="B9C7D6"/>
              <w:right w:val="single" w:sz="6" w:space="0" w:color="B9C7D6"/>
            </w:tcBorders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9" w:after="49"/>
            </w:pPr>
            <w:r>
              <w:rPr>
                <w:color w:val="1A1A1A"/>
                <w:sz w:val="18"/>
              </w:rPr>
              <w:t>附录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 xml:space="preserve"> C 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配置口径</w:t>
            </w:r>
          </w:p>
        </w:tc>
        <w:tc>
          <w:tcPr>
            <w:tcW w:type="pct" w:w="1850"/>
            <w:vAlign w:val="center"/>
            <w:tcBorders>
              <w:top w:val="single" w:sz="6" w:space="0" w:color="B9C7D6"/>
              <w:bottom w:val="single" w:sz="6" w:space="0" w:color="B9C7D6"/>
              <w:left w:val="single" w:sz="6" w:space="0" w:color="B9C7D6"/>
              <w:right w:val="single" w:sz="6" w:space="0" w:color="B9C7D6"/>
            </w:tcBorders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9" w:after="49"/>
            </w:pPr>
            <w:r>
              <w:rPr>
                <w:color w:val="1A1A1A"/>
                <w:sz w:val="18"/>
              </w:rPr>
              <w:t>工具数写作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 xml:space="preserve">“14 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个工具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”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、接口路径写作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rFonts w:ascii="Courier" w:hAnsi="Courier"/>
                <w:color w:val="1A1A1A"/>
                <w:sz w:val="18"/>
              </w:rPr>
              <w:t>/api/v1/...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、表数写作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 xml:space="preserve"> 21 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张、并称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“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需新增附件参考规则读取端点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”</w:t>
            </w:r>
          </w:p>
        </w:tc>
        <w:tc>
          <w:tcPr>
            <w:tcW w:type="pct" w:w="1850"/>
            <w:vAlign w:val="center"/>
            <w:tcBorders>
              <w:top w:val="single" w:sz="6" w:space="0" w:color="B9C7D6"/>
              <w:bottom w:val="single" w:sz="6" w:space="0" w:color="B9C7D6"/>
              <w:left w:val="single" w:sz="6" w:space="0" w:color="B9C7D6"/>
              <w:right w:val="single" w:sz="6" w:space="0" w:color="B9C7D6"/>
            </w:tcBorders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9" w:after="49"/>
            </w:pPr>
            <w:r>
              <w:rPr>
                <w:color w:val="1A1A1A"/>
                <w:sz w:val="18"/>
              </w:rPr>
              <w:t xml:space="preserve">全部按新工程改写： </w:t>
            </w:r>
            <w:r>
              <w:rPr>
                <w:b/>
                <w:color w:val="1A1A1A"/>
                <w:sz w:val="18"/>
              </w:rPr>
              <w:t>11 个工具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（内置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 xml:space="preserve"> 10 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个＋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 xml:space="preserve">1 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个既有比较接口映射），接口路径为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rFonts w:ascii="Courier" w:hAnsi="Courier"/>
                <w:color w:val="1A1A1A"/>
                <w:sz w:val="18"/>
              </w:rPr>
              <w:t>/api/&lt;模块&gt;</w:t>
            </w:r>
            <w:r>
              <w:rPr>
                <w:color w:val="1A1A1A"/>
                <w:sz w:val="18"/>
              </w:rPr>
              <w:t xml:space="preserve"> （无 </w:t>
            </w:r>
            <w:r>
              <w:rPr>
                <w:rFonts w:ascii="Courier" w:hAnsi="Courier"/>
                <w:color w:val="1A1A1A"/>
                <w:sz w:val="18"/>
              </w:rPr>
              <w:t>/v1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），表数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 xml:space="preserve"> 20 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张／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 xml:space="preserve">33 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个业务接口；双轨由同一接口的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rFonts w:ascii="Courier" w:hAnsi="Courier"/>
                <w:color w:val="1A1A1A"/>
                <w:sz w:val="18"/>
              </w:rPr>
              <w:t>system_recalculated</w:t>
            </w:r>
            <w:r>
              <w:rPr>
                <w:color w:val="1A1A1A"/>
                <w:sz w:val="18"/>
              </w:rPr>
              <w:t xml:space="preserve"> ／ </w:t>
            </w:r>
            <w:r>
              <w:rPr>
                <w:rFonts w:ascii="Courier" w:hAnsi="Courier"/>
                <w:color w:val="1A1A1A"/>
                <w:sz w:val="18"/>
              </w:rPr>
              <w:t>reference</w:t>
            </w:r>
            <w:r>
              <w:rPr>
                <w:color w:val="1A1A1A"/>
                <w:sz w:val="18"/>
              </w:rPr>
              <w:t xml:space="preserve"> 字段一并返回， </w:t>
            </w:r>
            <w:r>
              <w:rPr>
                <w:b/>
                <w:color w:val="1A1A1A"/>
                <w:sz w:val="18"/>
              </w:rPr>
              <w:t>不存在“需新增端点”的前置条件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；前置条件二改为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“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需补齐统一鉴权中间件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”</w:t>
            </w:r>
          </w:p>
        </w:tc>
      </w:tr>
      <w:tr>
        <w:tc>
          <w:tcPr>
            <w:tcW w:type="pct" w:w="300"/>
            <w:vAlign w:val="center"/>
            <w:tcBorders>
              <w:top w:val="single" w:sz="6" w:space="0" w:color="B9C7D6"/>
              <w:bottom w:val="single" w:sz="6" w:space="0" w:color="B9C7D6"/>
              <w:left w:val="single" w:sz="6" w:space="0" w:color="B9C7D6"/>
              <w:right w:val="single" w:sz="6" w:space="0" w:color="B9C7D6"/>
            </w:tcBorders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9" w:after="49"/>
            </w:pPr>
            <w:r>
              <w:rPr>
                <w:color w:val="1A1A1A"/>
                <w:sz w:val="18"/>
              </w:rPr>
              <w:t>10</w:t>
            </w:r>
          </w:p>
        </w:tc>
        <w:tc>
          <w:tcPr>
            <w:tcW w:type="pct" w:w="1000"/>
            <w:vAlign w:val="center"/>
            <w:tcBorders>
              <w:top w:val="single" w:sz="6" w:space="0" w:color="B9C7D6"/>
              <w:bottom w:val="single" w:sz="6" w:space="0" w:color="B9C7D6"/>
              <w:left w:val="single" w:sz="6" w:space="0" w:color="B9C7D6"/>
              <w:right w:val="single" w:sz="6" w:space="0" w:color="B9C7D6"/>
            </w:tcBorders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9" w:after="49"/>
            </w:pPr>
            <w:r>
              <w:rPr>
                <w:color w:val="1A1A1A"/>
                <w:sz w:val="18"/>
              </w:rPr>
              <w:t>数据标注口径</w:t>
            </w:r>
          </w:p>
        </w:tc>
        <w:tc>
          <w:tcPr>
            <w:tcW w:type="pct" w:w="1850"/>
            <w:vAlign w:val="center"/>
            <w:tcBorders>
              <w:top w:val="single" w:sz="6" w:space="0" w:color="B9C7D6"/>
              <w:bottom w:val="single" w:sz="6" w:space="0" w:color="B9C7D6"/>
              <w:left w:val="single" w:sz="6" w:space="0" w:color="B9C7D6"/>
              <w:right w:val="single" w:sz="6" w:space="0" w:color="B9C7D6"/>
            </w:tcBorders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9" w:after="49"/>
            </w:pPr>
            <w:r>
              <w:rPr>
                <w:color w:val="1A1A1A"/>
                <w:sz w:val="18"/>
              </w:rPr>
              <w:t>未区分数据来源</w:t>
            </w:r>
          </w:p>
        </w:tc>
        <w:tc>
          <w:tcPr>
            <w:tcW w:type="pct" w:w="1850"/>
            <w:vAlign w:val="center"/>
            <w:tcBorders>
              <w:top w:val="single" w:sz="6" w:space="0" w:color="B9C7D6"/>
              <w:bottom w:val="single" w:sz="6" w:space="0" w:color="B9C7D6"/>
              <w:left w:val="single" w:sz="6" w:space="0" w:color="B9C7D6"/>
              <w:right w:val="single" w:sz="6" w:space="0" w:color="B9C7D6"/>
            </w:tcBorders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9" w:after="49"/>
            </w:pPr>
            <w:r>
              <w:rPr>
                <w:color w:val="1A1A1A"/>
                <w:sz w:val="18"/>
              </w:rPr>
              <w:t xml:space="preserve">全文统一三种口径： </w:t>
            </w:r>
            <w:r>
              <w:rPr>
                <w:b/>
                <w:color w:val="1A1A1A"/>
                <w:sz w:val="18"/>
              </w:rPr>
              <w:t>平台实测</w:t>
            </w:r>
            <w:r>
              <w:rPr>
                <w:color w:val="1A1A1A"/>
                <w:sz w:val="18"/>
              </w:rPr>
              <w:t xml:space="preserve"> （ </w:t>
            </w:r>
            <w:r>
              <w:rPr>
                <w:rFonts w:ascii="Courier" w:hAnsi="Courier"/>
                <w:color w:val="1A1A1A"/>
                <w:sz w:val="18"/>
              </w:rPr>
              <w:t>is_reference=false</w:t>
            </w:r>
            <w:r>
              <w:rPr>
                <w:color w:val="1A1A1A"/>
                <w:sz w:val="18"/>
              </w:rPr>
              <w:t xml:space="preserve"> ，亦称系统重算轨）、 </w:t>
            </w:r>
            <w:r>
              <w:rPr>
                <w:b/>
                <w:color w:val="1A1A1A"/>
                <w:sz w:val="18"/>
              </w:rPr>
              <w:t>附件参考</w:t>
            </w:r>
            <w:r>
              <w:rPr>
                <w:color w:val="1A1A1A"/>
                <w:sz w:val="18"/>
              </w:rPr>
              <w:t xml:space="preserve"> （ </w:t>
            </w:r>
            <w:r>
              <w:rPr>
                <w:rFonts w:ascii="Courier" w:hAnsi="Courier"/>
                <w:color w:val="1A1A1A"/>
                <w:sz w:val="18"/>
              </w:rPr>
              <w:t>is_reference=true</w:t>
            </w:r>
            <w:r>
              <w:rPr>
                <w:color w:val="1A1A1A"/>
                <w:sz w:val="18"/>
              </w:rPr>
              <w:t xml:space="preserve"> ）、 </w:t>
            </w:r>
            <w:r>
              <w:rPr>
                <w:b/>
                <w:color w:val="1A1A1A"/>
                <w:sz w:val="18"/>
              </w:rPr>
              <w:t>行业公开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；关键定量段落后附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“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数据来源：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……”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引注</w:t>
            </w:r>
          </w:p>
        </w:tc>
      </w:tr>
      <w:tr>
        <w:tc>
          <w:tcPr>
            <w:tcW w:type="pct" w:w="300"/>
            <w:vAlign w:val="center"/>
            <w:tcBorders>
              <w:top w:val="single" w:sz="6" w:space="0" w:color="B9C7D6"/>
              <w:bottom w:val="single" w:sz="6" w:space="0" w:color="B9C7D6"/>
              <w:left w:val="single" w:sz="6" w:space="0" w:color="B9C7D6"/>
              <w:right w:val="single" w:sz="6" w:space="0" w:color="B9C7D6"/>
            </w:tcBorders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9" w:after="49"/>
            </w:pPr>
            <w:r>
              <w:rPr>
                <w:color w:val="1A1A1A"/>
                <w:sz w:val="18"/>
              </w:rPr>
              <w:t>11</w:t>
            </w:r>
          </w:p>
        </w:tc>
        <w:tc>
          <w:tcPr>
            <w:tcW w:type="pct" w:w="1000"/>
            <w:vAlign w:val="center"/>
            <w:tcBorders>
              <w:top w:val="single" w:sz="6" w:space="0" w:color="B9C7D6"/>
              <w:bottom w:val="single" w:sz="6" w:space="0" w:color="B9C7D6"/>
              <w:left w:val="single" w:sz="6" w:space="0" w:color="B9C7D6"/>
              <w:right w:val="single" w:sz="6" w:space="0" w:color="B9C7D6"/>
            </w:tcBorders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9" w:after="49"/>
            </w:pPr>
            <w:r>
              <w:rPr>
                <w:color w:val="1A1A1A"/>
                <w:sz w:val="18"/>
              </w:rPr>
              <w:t>行文体裁</w:t>
            </w:r>
          </w:p>
        </w:tc>
        <w:tc>
          <w:tcPr>
            <w:tcW w:type="pct" w:w="1850"/>
            <w:vAlign w:val="center"/>
            <w:tcBorders>
              <w:top w:val="single" w:sz="6" w:space="0" w:color="B9C7D6"/>
              <w:bottom w:val="single" w:sz="6" w:space="0" w:color="B9C7D6"/>
              <w:left w:val="single" w:sz="6" w:space="0" w:color="B9C7D6"/>
              <w:right w:val="single" w:sz="6" w:space="0" w:color="B9C7D6"/>
            </w:tcBorders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9" w:after="49"/>
            </w:pPr>
            <w:r>
              <w:rPr>
                <w:color w:val="1A1A1A"/>
                <w:sz w:val="18"/>
              </w:rPr>
              <w:t>含用于交底的工作性内容（修订说明、版本差异、缺陷修复过程）</w:t>
            </w:r>
          </w:p>
        </w:tc>
        <w:tc>
          <w:tcPr>
            <w:tcW w:type="pct" w:w="1850"/>
            <w:vAlign w:val="center"/>
            <w:tcBorders>
              <w:top w:val="single" w:sz="6" w:space="0" w:color="B9C7D6"/>
              <w:bottom w:val="single" w:sz="6" w:space="0" w:color="B9C7D6"/>
              <w:left w:val="single" w:sz="6" w:space="0" w:color="B9C7D6"/>
              <w:right w:val="single" w:sz="6" w:space="0" w:color="B9C7D6"/>
            </w:tcBorders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9" w:after="49"/>
            </w:pPr>
            <w:r>
              <w:rPr>
                <w:color w:val="1A1A1A"/>
                <w:sz w:val="18"/>
              </w:rPr>
              <w:t>全部改为场景分析报告正文体裁；工作性内容移出正文，仅保留在本说明中</w:t>
            </w:r>
          </w:p>
        </w:tc>
      </w:tr>
      <w:tr>
        <w:tc>
          <w:tcPr>
            <w:tcW w:type="pct" w:w="300"/>
            <w:vAlign w:val="center"/>
            <w:tcBorders>
              <w:top w:val="single" w:sz="6" w:space="0" w:color="B9C7D6"/>
              <w:bottom w:val="single" w:sz="6" w:space="0" w:color="B9C7D6"/>
              <w:left w:val="single" w:sz="6" w:space="0" w:color="B9C7D6"/>
              <w:right w:val="single" w:sz="6" w:space="0" w:color="B9C7D6"/>
            </w:tcBorders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9" w:after="49"/>
            </w:pPr>
            <w:r>
              <w:rPr>
                <w:color w:val="1A1A1A"/>
                <w:sz w:val="18"/>
              </w:rPr>
              <w:t>12</w:t>
            </w:r>
          </w:p>
        </w:tc>
        <w:tc>
          <w:tcPr>
            <w:tcW w:type="pct" w:w="1000"/>
            <w:vAlign w:val="center"/>
            <w:tcBorders>
              <w:top w:val="single" w:sz="6" w:space="0" w:color="B9C7D6"/>
              <w:bottom w:val="single" w:sz="6" w:space="0" w:color="B9C7D6"/>
              <w:left w:val="single" w:sz="6" w:space="0" w:color="B9C7D6"/>
              <w:right w:val="single" w:sz="6" w:space="0" w:color="B9C7D6"/>
            </w:tcBorders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9" w:after="49"/>
            </w:pPr>
            <w:r>
              <w:rPr>
                <w:color w:val="1A1A1A"/>
                <w:sz w:val="18"/>
              </w:rPr>
              <w:t>章节分工</w:t>
            </w:r>
          </w:p>
        </w:tc>
        <w:tc>
          <w:tcPr>
            <w:tcW w:type="pct" w:w="1850"/>
            <w:vAlign w:val="center"/>
            <w:tcBorders>
              <w:top w:val="single" w:sz="6" w:space="0" w:color="B9C7D6"/>
              <w:bottom w:val="single" w:sz="6" w:space="0" w:color="B9C7D6"/>
              <w:left w:val="single" w:sz="6" w:space="0" w:color="B9C7D6"/>
              <w:right w:val="single" w:sz="6" w:space="0" w:color="B9C7D6"/>
            </w:tcBorders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9" w:after="49"/>
            </w:pPr>
            <w:r>
              <w:rPr>
                <w:color w:val="1A1A1A"/>
                <w:sz w:val="18"/>
              </w:rPr>
              <w:t>第三章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“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理论框架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”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中混杂大量平台实现内容（表名、接口路径、页面路由、实测数值、测试断言引用），理论与实现界限不清</w:t>
            </w:r>
          </w:p>
        </w:tc>
        <w:tc>
          <w:tcPr>
            <w:tcW w:type="pct" w:w="1850"/>
            <w:vAlign w:val="center"/>
            <w:tcBorders>
              <w:top w:val="single" w:sz="6" w:space="0" w:color="B9C7D6"/>
              <w:bottom w:val="single" w:sz="6" w:space="0" w:color="B9C7D6"/>
              <w:left w:val="single" w:sz="6" w:space="0" w:color="B9C7D6"/>
              <w:right w:val="single" w:sz="6" w:space="0" w:color="B9C7D6"/>
            </w:tcBorders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9" w:after="49"/>
            </w:pPr>
            <w:r>
              <w:rPr>
                <w:b/>
                <w:color w:val="1A1A1A"/>
                <w:sz w:val="18"/>
              </w:rPr>
              <w:t>第三章 3.1—3.2 剥离为纯理论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：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 xml:space="preserve">3.1 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五层框架表改为理论作用表述；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 xml:space="preserve">3.2.1—3.2.7 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只保留理论内涵、设计原则与适用边界；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3.2.6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、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 xml:space="preserve">3.2.7 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保留为理论条目但删去三层机制、接口与状态码等实现。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b/>
                <w:color w:val="1A1A1A"/>
                <w:sz w:val="18"/>
              </w:rPr>
              <w:t>3.3 节保留平台映射内容并补全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——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该节是第四章的引桥，删去平台信息会失去承上启下的作用；除原有的六大痛点映射表外，新增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“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支撑类模块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”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表（仪表盘、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AI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选品助手、数据中心、审批中心、系统管理），使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 xml:space="preserve"> 12 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个页面的覆盖关系完整。移出的实现内容并入第四章：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 xml:space="preserve">4.2.5 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补入三级审批模型的分级表</w:t>
            </w:r>
          </w:p>
        </w:tc>
      </w:tr>
    </w:tbl>
    <w:p>
      <w:bookmarkStart w:id="3" w:name="g3"/>
      <w:pPr>
        <w:pStyle w:val="Heading2"/>
      </w:pPr>
      <w:bookmarkEnd w:id="3"/>
      <w:r>
        <w:rPr>
          <w:color w:val="1F4E79"/>
          <w:sz w:val="27"/>
        </w:rPr>
        <w:t>三、联动修改清单（本文件未涉及，但合并时须同步修改）</w:t>
      </w:r>
    </w:p>
    <w:p>
      <w:pPr>
        <w:spacing w:line="420" w:lineRule="auto"/>
        <w:jc w:val="both"/>
      </w:pPr>
      <w:r>
        <w:rPr>
          <w:color w:val="1A1A1A"/>
          <w:sz w:val="21"/>
        </w:rPr>
        <w:t>以下各处位于第三至六章之外，若不同步修改，会与替换后的章节产生矛盾。</w:t>
      </w:r>
    </w:p>
    <w:tbl>
      <w:tblPr>
        <w:tblW w:type="pct" w:w="5000"/>
        <w:tblLayout w:type="autofit"/>
        <w:tblLook w:firstColumn="1" w:firstRow="1" w:lastColumn="0" w:lastRow="0" w:noHBand="0" w:noVBand="1" w:val="04A0"/>
      </w:tblPr>
      <w:tblGrid>
        <w:gridCol w:w="518"/>
        <w:gridCol w:w="2074"/>
        <w:gridCol w:w="6048"/>
      </w:tblGrid>
      <w:tr>
        <w:tc>
          <w:tcPr>
            <w:tcW w:type="pct" w:w="300"/>
            <w:shd w:fill="EEF3F8" w:val="clear" w:color="auto"/>
            <w:tcBorders>
              <w:top w:val="single" w:sz="6" w:space="0" w:color="B9C7D6"/>
              <w:bottom w:val="single" w:sz="6" w:space="0" w:color="B9C7D6"/>
              <w:left w:val="single" w:sz="6" w:space="0" w:color="B9C7D6"/>
              <w:right w:val="single" w:sz="6" w:space="0" w:color="B9C7D6"/>
            </w:tcBorders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b/>
                <w:color w:val="1F4E79"/>
                <w:sz w:val="18"/>
              </w:rPr>
              <w:t>序</w:t>
            </w:r>
          </w:p>
        </w:tc>
        <w:tc>
          <w:tcPr>
            <w:tcW w:type="pct" w:w="1200"/>
            <w:shd w:fill="EEF3F8" w:val="clear" w:color="auto"/>
            <w:tcBorders>
              <w:top w:val="single" w:sz="6" w:space="0" w:color="B9C7D6"/>
              <w:bottom w:val="single" w:sz="6" w:space="0" w:color="B9C7D6"/>
              <w:left w:val="single" w:sz="6" w:space="0" w:color="B9C7D6"/>
              <w:right w:val="single" w:sz="6" w:space="0" w:color="B9C7D6"/>
            </w:tcBorders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b/>
                <w:color w:val="1F4E79"/>
                <w:sz w:val="18"/>
              </w:rPr>
              <w:t>位置</w:t>
            </w:r>
          </w:p>
        </w:tc>
        <w:tc>
          <w:tcPr>
            <w:tcW w:type="pct" w:w="3500"/>
            <w:shd w:fill="EEF3F8" w:val="clear" w:color="auto"/>
            <w:tcBorders>
              <w:top w:val="single" w:sz="6" w:space="0" w:color="B9C7D6"/>
              <w:bottom w:val="single" w:sz="6" w:space="0" w:color="B9C7D6"/>
              <w:left w:val="single" w:sz="6" w:space="0" w:color="B9C7D6"/>
              <w:right w:val="single" w:sz="6" w:space="0" w:color="B9C7D6"/>
            </w:tcBorders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b/>
                <w:color w:val="1F4E79"/>
                <w:sz w:val="18"/>
              </w:rPr>
              <w:t>须同步修改的内容</w:t>
            </w:r>
          </w:p>
        </w:tc>
      </w:tr>
      <w:tr>
        <w:tc>
          <w:tcPr>
            <w:tcW w:type="pct" w:w="300"/>
            <w:vAlign w:val="center"/>
            <w:tcBorders>
              <w:top w:val="single" w:sz="6" w:space="0" w:color="B9C7D6"/>
              <w:bottom w:val="single" w:sz="6" w:space="0" w:color="B9C7D6"/>
              <w:left w:val="single" w:sz="6" w:space="0" w:color="B9C7D6"/>
              <w:right w:val="single" w:sz="6" w:space="0" w:color="B9C7D6"/>
            </w:tcBorders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9" w:after="49"/>
            </w:pPr>
            <w:r>
              <w:rPr>
                <w:color w:val="1A1A1A"/>
                <w:sz w:val="18"/>
              </w:rPr>
              <w:t>1</w:t>
            </w:r>
          </w:p>
        </w:tc>
        <w:tc>
          <w:tcPr>
            <w:tcW w:type="pct" w:w="1200"/>
            <w:vAlign w:val="center"/>
            <w:tcBorders>
              <w:top w:val="single" w:sz="6" w:space="0" w:color="B9C7D6"/>
              <w:bottom w:val="single" w:sz="6" w:space="0" w:color="B9C7D6"/>
              <w:left w:val="single" w:sz="6" w:space="0" w:color="B9C7D6"/>
              <w:right w:val="single" w:sz="6" w:space="0" w:color="B9C7D6"/>
            </w:tcBorders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9" w:after="49"/>
            </w:pPr>
            <w:r>
              <w:rPr>
                <w:color w:val="1A1A1A"/>
                <w:sz w:val="18"/>
              </w:rPr>
              <w:t>第一章／第二章若提及平台规模</w:t>
            </w:r>
          </w:p>
        </w:tc>
        <w:tc>
          <w:tcPr>
            <w:tcW w:type="pct" w:w="3500"/>
            <w:vAlign w:val="center"/>
            <w:tcBorders>
              <w:top w:val="single" w:sz="6" w:space="0" w:color="B9C7D6"/>
              <w:bottom w:val="single" w:sz="6" w:space="0" w:color="B9C7D6"/>
              <w:left w:val="single" w:sz="6" w:space="0" w:color="B9C7D6"/>
              <w:right w:val="single" w:sz="6" w:space="0" w:color="B9C7D6"/>
            </w:tcBorders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9" w:after="49"/>
            </w:pPr>
            <w:r>
              <w:rPr>
                <w:color w:val="1A1A1A"/>
                <w:sz w:val="18"/>
              </w:rPr>
              <w:t>凡出现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 xml:space="preserve">“21 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张数据表、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 xml:space="preserve">47 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个接口路径、单文件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 xml:space="preserve"> HTML 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前端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”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等旧表述之处，统一改为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 xml:space="preserve">“20 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张数据表、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 xml:space="preserve">33 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个业务接口、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 xml:space="preserve">React 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单页应用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 xml:space="preserve"> 12 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个页面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”</w:t>
            </w:r>
          </w:p>
        </w:tc>
      </w:tr>
      <w:tr>
        <w:tc>
          <w:tcPr>
            <w:tcW w:type="pct" w:w="300"/>
            <w:vAlign w:val="center"/>
            <w:tcBorders>
              <w:top w:val="single" w:sz="6" w:space="0" w:color="B9C7D6"/>
              <w:bottom w:val="single" w:sz="6" w:space="0" w:color="B9C7D6"/>
              <w:left w:val="single" w:sz="6" w:space="0" w:color="B9C7D6"/>
              <w:right w:val="single" w:sz="6" w:space="0" w:color="B9C7D6"/>
            </w:tcBorders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9" w:after="49"/>
            </w:pPr>
            <w:r>
              <w:rPr>
                <w:color w:val="1A1A1A"/>
                <w:sz w:val="18"/>
              </w:rPr>
              <w:t>2</w:t>
            </w:r>
          </w:p>
        </w:tc>
        <w:tc>
          <w:tcPr>
            <w:tcW w:type="pct" w:w="1200"/>
            <w:vAlign w:val="center"/>
            <w:tcBorders>
              <w:top w:val="single" w:sz="6" w:space="0" w:color="B9C7D6"/>
              <w:bottom w:val="single" w:sz="6" w:space="0" w:color="B9C7D6"/>
              <w:left w:val="single" w:sz="6" w:space="0" w:color="B9C7D6"/>
              <w:right w:val="single" w:sz="6" w:space="0" w:color="B9C7D6"/>
            </w:tcBorders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9" w:after="49"/>
            </w:pPr>
            <w:r>
              <w:rPr>
                <w:color w:val="1A1A1A"/>
                <w:sz w:val="18"/>
              </w:rPr>
              <w:t>第五章之外引用了健康度数值之处</w:t>
            </w:r>
          </w:p>
        </w:tc>
        <w:tc>
          <w:tcPr>
            <w:tcW w:type="pct" w:w="3500"/>
            <w:vAlign w:val="center"/>
            <w:tcBorders>
              <w:top w:val="single" w:sz="6" w:space="0" w:color="B9C7D6"/>
              <w:bottom w:val="single" w:sz="6" w:space="0" w:color="B9C7D6"/>
              <w:left w:val="single" w:sz="6" w:space="0" w:color="B9C7D6"/>
              <w:right w:val="single" w:sz="6" w:space="0" w:color="B9C7D6"/>
            </w:tcBorders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9" w:after="49"/>
            </w:pPr>
            <w:r>
              <w:rPr>
                <w:color w:val="1A1A1A"/>
                <w:sz w:val="18"/>
              </w:rPr>
              <w:t>凡引用健康度分数之处，统一替换为新工程实测值，并标注轨别（重算轨／参考轨）</w:t>
            </w:r>
          </w:p>
        </w:tc>
      </w:tr>
      <w:tr>
        <w:tc>
          <w:tcPr>
            <w:tcW w:type="pct" w:w="300"/>
            <w:vAlign w:val="center"/>
            <w:tcBorders>
              <w:top w:val="single" w:sz="6" w:space="0" w:color="B9C7D6"/>
              <w:bottom w:val="single" w:sz="6" w:space="0" w:color="B9C7D6"/>
              <w:left w:val="single" w:sz="6" w:space="0" w:color="B9C7D6"/>
              <w:right w:val="single" w:sz="6" w:space="0" w:color="B9C7D6"/>
            </w:tcBorders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9" w:after="49"/>
            </w:pPr>
            <w:r>
              <w:rPr>
                <w:color w:val="1A1A1A"/>
                <w:sz w:val="18"/>
              </w:rPr>
              <w:t>3</w:t>
            </w:r>
          </w:p>
        </w:tc>
        <w:tc>
          <w:tcPr>
            <w:tcW w:type="pct" w:w="1200"/>
            <w:vAlign w:val="center"/>
            <w:tcBorders>
              <w:top w:val="single" w:sz="6" w:space="0" w:color="B9C7D6"/>
              <w:bottom w:val="single" w:sz="6" w:space="0" w:color="B9C7D6"/>
              <w:left w:val="single" w:sz="6" w:space="0" w:color="B9C7D6"/>
              <w:right w:val="single" w:sz="6" w:space="0" w:color="B9C7D6"/>
            </w:tcBorders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9" w:after="49"/>
            </w:pPr>
            <w:r>
              <w:rPr>
                <w:color w:val="1A1A1A"/>
                <w:sz w:val="18"/>
              </w:rPr>
              <w:t>摘要／关键词</w:t>
            </w:r>
          </w:p>
        </w:tc>
        <w:tc>
          <w:tcPr>
            <w:tcW w:type="pct" w:w="3500"/>
            <w:vAlign w:val="center"/>
            <w:tcBorders>
              <w:top w:val="single" w:sz="6" w:space="0" w:color="B9C7D6"/>
              <w:bottom w:val="single" w:sz="6" w:space="0" w:color="B9C7D6"/>
              <w:left w:val="single" w:sz="6" w:space="0" w:color="B9C7D6"/>
              <w:right w:val="single" w:sz="6" w:space="0" w:color="B9C7D6"/>
            </w:tcBorders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9" w:after="49"/>
            </w:pPr>
            <w:r>
              <w:rPr>
                <w:color w:val="1A1A1A"/>
                <w:sz w:val="18"/>
              </w:rPr>
              <w:t>若摘要中提及预测精度或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 xml:space="preserve"> MAPE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，须删除或改为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“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报告趋势方向而非精度指标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”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；关键词建议补入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“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场景分析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”“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数据可追溯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”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等与本稿新增内容相关的词</w:t>
            </w:r>
          </w:p>
        </w:tc>
      </w:tr>
      <w:tr>
        <w:tc>
          <w:tcPr>
            <w:tcW w:type="pct" w:w="300"/>
            <w:vAlign w:val="center"/>
            <w:tcBorders>
              <w:top w:val="single" w:sz="6" w:space="0" w:color="B9C7D6"/>
              <w:bottom w:val="single" w:sz="6" w:space="0" w:color="B9C7D6"/>
              <w:left w:val="single" w:sz="6" w:space="0" w:color="B9C7D6"/>
              <w:right w:val="single" w:sz="6" w:space="0" w:color="B9C7D6"/>
            </w:tcBorders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9" w:after="49"/>
            </w:pPr>
            <w:r>
              <w:rPr>
                <w:color w:val="1A1A1A"/>
                <w:sz w:val="18"/>
              </w:rPr>
              <w:t>4</w:t>
            </w:r>
          </w:p>
        </w:tc>
        <w:tc>
          <w:tcPr>
            <w:tcW w:type="pct" w:w="1200"/>
            <w:vAlign w:val="center"/>
            <w:tcBorders>
              <w:top w:val="single" w:sz="6" w:space="0" w:color="B9C7D6"/>
              <w:bottom w:val="single" w:sz="6" w:space="0" w:color="B9C7D6"/>
              <w:left w:val="single" w:sz="6" w:space="0" w:color="B9C7D6"/>
              <w:right w:val="single" w:sz="6" w:space="0" w:color="B9C7D6"/>
            </w:tcBorders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9" w:after="49"/>
            </w:pPr>
            <w:r>
              <w:rPr>
                <w:color w:val="1A1A1A"/>
                <w:sz w:val="18"/>
              </w:rPr>
              <w:t>图表清单与图注</w:t>
            </w:r>
          </w:p>
        </w:tc>
        <w:tc>
          <w:tcPr>
            <w:tcW w:type="pct" w:w="3500"/>
            <w:vAlign w:val="center"/>
            <w:tcBorders>
              <w:top w:val="single" w:sz="6" w:space="0" w:color="B9C7D6"/>
              <w:bottom w:val="single" w:sz="6" w:space="0" w:color="B9C7D6"/>
              <w:left w:val="single" w:sz="6" w:space="0" w:color="B9C7D6"/>
              <w:right w:val="single" w:sz="6" w:space="0" w:color="B9C7D6"/>
            </w:tcBorders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9" w:after="49"/>
            </w:pPr>
            <w:r>
              <w:rPr>
                <w:color w:val="1A1A1A"/>
                <w:sz w:val="18"/>
              </w:rPr>
              <w:t>第三章共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 xml:space="preserve"> 3 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张表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 xml:space="preserve">——3.1 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五层框架表、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 xml:space="preserve">3.3 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六大痛点映射表、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b/>
                <w:color w:val="1A1A1A"/>
                <w:sz w:val="18"/>
              </w:rPr>
              <w:t>3.3 支撑类模块表（新增）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（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 xml:space="preserve">3.2 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节各表已按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“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以文字叙述代替表格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”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改写）；第四章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 xml:space="preserve"> 4.1.1—4.5.5 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各表，其中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b/>
                <w:color w:val="1A1A1A"/>
                <w:sz w:val="18"/>
              </w:rPr>
              <w:t>4.2.5 三级审批模型表为新增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；第五章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 xml:space="preserve"> 5.1.1—5.5.5 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各表均已重编，须核对全文表号与交叉引用</w:t>
            </w:r>
          </w:p>
        </w:tc>
      </w:tr>
      <w:tr>
        <w:tc>
          <w:tcPr>
            <w:tcW w:type="pct" w:w="300"/>
            <w:vAlign w:val="center"/>
            <w:tcBorders>
              <w:top w:val="single" w:sz="6" w:space="0" w:color="B9C7D6"/>
              <w:bottom w:val="single" w:sz="6" w:space="0" w:color="B9C7D6"/>
              <w:left w:val="single" w:sz="6" w:space="0" w:color="B9C7D6"/>
              <w:right w:val="single" w:sz="6" w:space="0" w:color="B9C7D6"/>
            </w:tcBorders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9" w:after="49"/>
            </w:pPr>
            <w:r>
              <w:rPr>
                <w:color w:val="1A1A1A"/>
                <w:sz w:val="18"/>
              </w:rPr>
              <w:t>5</w:t>
            </w:r>
          </w:p>
        </w:tc>
        <w:tc>
          <w:tcPr>
            <w:tcW w:type="pct" w:w="1200"/>
            <w:vAlign w:val="center"/>
            <w:tcBorders>
              <w:top w:val="single" w:sz="6" w:space="0" w:color="B9C7D6"/>
              <w:bottom w:val="single" w:sz="6" w:space="0" w:color="B9C7D6"/>
              <w:left w:val="single" w:sz="6" w:space="0" w:color="B9C7D6"/>
              <w:right w:val="single" w:sz="6" w:space="0" w:color="B9C7D6"/>
            </w:tcBorders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9" w:after="49"/>
            </w:pPr>
            <w:r>
              <w:rPr>
                <w:color w:val="1A1A1A"/>
                <w:sz w:val="18"/>
              </w:rPr>
              <w:t>附件清单与前置说明</w:t>
            </w:r>
          </w:p>
        </w:tc>
        <w:tc>
          <w:tcPr>
            <w:tcW w:type="pct" w:w="3500"/>
            <w:vAlign w:val="center"/>
            <w:tcBorders>
              <w:top w:val="single" w:sz="6" w:space="0" w:color="B9C7D6"/>
              <w:bottom w:val="single" w:sz="6" w:space="0" w:color="B9C7D6"/>
              <w:left w:val="single" w:sz="6" w:space="0" w:color="B9C7D6"/>
              <w:right w:val="single" w:sz="6" w:space="0" w:color="B9C7D6"/>
            </w:tcBorders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9" w:after="49"/>
            </w:pPr>
            <w:r>
              <w:rPr>
                <w:color w:val="1A1A1A"/>
                <w:sz w:val="18"/>
              </w:rPr>
              <w:t>本稿正文前新增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“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数据性质与来源说明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”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一节，附录新增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“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附录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 xml:space="preserve"> C 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讯飞星辰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 xml:space="preserve"> Agent 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平台配置方案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”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，两者均须在附件清单与前置部分登记</w:t>
            </w:r>
          </w:p>
        </w:tc>
      </w:tr>
      <w:tr>
        <w:tc>
          <w:tcPr>
            <w:tcW w:type="pct" w:w="300"/>
            <w:vAlign w:val="center"/>
            <w:tcBorders>
              <w:top w:val="single" w:sz="6" w:space="0" w:color="B9C7D6"/>
              <w:bottom w:val="single" w:sz="6" w:space="0" w:color="B9C7D6"/>
              <w:left w:val="single" w:sz="6" w:space="0" w:color="B9C7D6"/>
              <w:right w:val="single" w:sz="6" w:space="0" w:color="B9C7D6"/>
            </w:tcBorders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9" w:after="49"/>
            </w:pPr>
            <w:r>
              <w:rPr>
                <w:color w:val="1A1A1A"/>
                <w:sz w:val="18"/>
              </w:rPr>
              <w:t>6</w:t>
            </w:r>
          </w:p>
        </w:tc>
        <w:tc>
          <w:tcPr>
            <w:tcW w:type="pct" w:w="1200"/>
            <w:vAlign w:val="center"/>
            <w:tcBorders>
              <w:top w:val="single" w:sz="6" w:space="0" w:color="B9C7D6"/>
              <w:bottom w:val="single" w:sz="6" w:space="0" w:color="B9C7D6"/>
              <w:left w:val="single" w:sz="6" w:space="0" w:color="B9C7D6"/>
              <w:right w:val="single" w:sz="6" w:space="0" w:color="B9C7D6"/>
            </w:tcBorders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9" w:after="49"/>
            </w:pPr>
            <w:r>
              <w:rPr>
                <w:color w:val="1A1A1A"/>
                <w:sz w:val="18"/>
              </w:rPr>
              <w:t>附录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 xml:space="preserve"> A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／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B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（如含数据集说明）</w:t>
            </w:r>
          </w:p>
        </w:tc>
        <w:tc>
          <w:tcPr>
            <w:tcW w:type="pct" w:w="3500"/>
            <w:vAlign w:val="center"/>
            <w:tcBorders>
              <w:top w:val="single" w:sz="6" w:space="0" w:color="B9C7D6"/>
              <w:bottom w:val="single" w:sz="6" w:space="0" w:color="B9C7D6"/>
              <w:left w:val="single" w:sz="6" w:space="0" w:color="B9C7D6"/>
              <w:right w:val="single" w:sz="6" w:space="0" w:color="B9C7D6"/>
            </w:tcBorders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9" w:after="49"/>
            </w:pPr>
            <w:r>
              <w:rPr>
                <w:color w:val="1A1A1A"/>
                <w:sz w:val="18"/>
              </w:rPr>
              <w:t>须与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 xml:space="preserve"> 5.1.1 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的数据集清单一致：交易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 xml:space="preserve"> 5000 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笔、明细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 xml:space="preserve"> 24893 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条、品类销售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 xml:space="preserve"> 84 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条、需求历史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 xml:space="preserve"> 60 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条；并说明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rFonts w:ascii="Courier" w:hAnsi="Courier"/>
                <w:color w:val="1A1A1A"/>
                <w:sz w:val="18"/>
              </w:rPr>
              <w:t>sku_products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等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 xml:space="preserve"> 5 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张表为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 xml:space="preserve"> 0 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行</w:t>
            </w:r>
          </w:p>
        </w:tc>
      </w:tr>
      <w:tr>
        <w:tc>
          <w:tcPr>
            <w:tcW w:type="pct" w:w="300"/>
            <w:vAlign w:val="center"/>
            <w:tcBorders>
              <w:top w:val="single" w:sz="6" w:space="0" w:color="B9C7D6"/>
              <w:bottom w:val="single" w:sz="6" w:space="0" w:color="B9C7D6"/>
              <w:left w:val="single" w:sz="6" w:space="0" w:color="B9C7D6"/>
              <w:right w:val="single" w:sz="6" w:space="0" w:color="B9C7D6"/>
            </w:tcBorders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9" w:after="49"/>
            </w:pPr>
            <w:r>
              <w:rPr>
                <w:color w:val="1A1A1A"/>
                <w:sz w:val="18"/>
              </w:rPr>
              <w:t>7</w:t>
            </w:r>
          </w:p>
        </w:tc>
        <w:tc>
          <w:tcPr>
            <w:tcW w:type="pct" w:w="1200"/>
            <w:vAlign w:val="center"/>
            <w:tcBorders>
              <w:top w:val="single" w:sz="6" w:space="0" w:color="B9C7D6"/>
              <w:bottom w:val="single" w:sz="6" w:space="0" w:color="B9C7D6"/>
              <w:left w:val="single" w:sz="6" w:space="0" w:color="B9C7D6"/>
              <w:right w:val="single" w:sz="6" w:space="0" w:color="B9C7D6"/>
            </w:tcBorders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9" w:after="49"/>
            </w:pPr>
            <w:r>
              <w:rPr>
                <w:color w:val="1A1A1A"/>
                <w:sz w:val="18"/>
              </w:rPr>
              <w:t>作品说明中的技术栈描述</w:t>
            </w:r>
          </w:p>
        </w:tc>
        <w:tc>
          <w:tcPr>
            <w:tcW w:type="pct" w:w="3500"/>
            <w:vAlign w:val="center"/>
            <w:tcBorders>
              <w:top w:val="single" w:sz="6" w:space="0" w:color="B9C7D6"/>
              <w:bottom w:val="single" w:sz="6" w:space="0" w:color="B9C7D6"/>
              <w:left w:val="single" w:sz="6" w:space="0" w:color="B9C7D6"/>
              <w:right w:val="single" w:sz="6" w:space="0" w:color="B9C7D6"/>
            </w:tcBorders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9" w:after="49"/>
            </w:pPr>
            <w:r>
              <w:rPr>
                <w:color w:val="1A1A1A"/>
                <w:sz w:val="18"/>
              </w:rPr>
              <w:t>统一为：后端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 xml:space="preserve"> FastAPI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＋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SQLAlchemy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＋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SQLite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，前端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 xml:space="preserve"> React 18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＋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TypeScript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＋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Vite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＋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Tailwind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＋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ECharts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；算法为纯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 xml:space="preserve"> Python 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实现，不依赖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 xml:space="preserve"> mlxtend</w:t>
            </w:r>
          </w:p>
        </w:tc>
      </w:tr>
      <w:tr>
        <w:tc>
          <w:tcPr>
            <w:tcW w:type="pct" w:w="300"/>
            <w:vAlign w:val="center"/>
            <w:tcBorders>
              <w:top w:val="single" w:sz="6" w:space="0" w:color="B9C7D6"/>
              <w:bottom w:val="single" w:sz="6" w:space="0" w:color="B9C7D6"/>
              <w:left w:val="single" w:sz="6" w:space="0" w:color="B9C7D6"/>
              <w:right w:val="single" w:sz="6" w:space="0" w:color="B9C7D6"/>
            </w:tcBorders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9" w:after="49"/>
            </w:pPr>
            <w:r>
              <w:rPr>
                <w:color w:val="1A1A1A"/>
                <w:sz w:val="18"/>
              </w:rPr>
              <w:t>8</w:t>
            </w:r>
          </w:p>
        </w:tc>
        <w:tc>
          <w:tcPr>
            <w:tcW w:type="pct" w:w="1200"/>
            <w:vAlign w:val="center"/>
            <w:tcBorders>
              <w:top w:val="single" w:sz="6" w:space="0" w:color="B9C7D6"/>
              <w:bottom w:val="single" w:sz="6" w:space="0" w:color="B9C7D6"/>
              <w:left w:val="single" w:sz="6" w:space="0" w:color="B9C7D6"/>
              <w:right w:val="single" w:sz="6" w:space="0" w:color="B9C7D6"/>
            </w:tcBorders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9" w:after="49"/>
            </w:pPr>
            <w:r>
              <w:rPr>
                <w:color w:val="1A1A1A"/>
                <w:sz w:val="18"/>
              </w:rPr>
              <w:t>数据声明</w:t>
            </w:r>
          </w:p>
        </w:tc>
        <w:tc>
          <w:tcPr>
            <w:tcW w:type="pct" w:w="3500"/>
            <w:vAlign w:val="center"/>
            <w:tcBorders>
              <w:top w:val="single" w:sz="6" w:space="0" w:color="B9C7D6"/>
              <w:bottom w:val="single" w:sz="6" w:space="0" w:color="B9C7D6"/>
              <w:left w:val="single" w:sz="6" w:space="0" w:color="B9C7D6"/>
              <w:right w:val="single" w:sz="6" w:space="0" w:color="B9C7D6"/>
            </w:tcBorders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9" w:after="49"/>
            </w:pPr>
            <w:r>
              <w:rPr>
                <w:color w:val="1A1A1A"/>
                <w:sz w:val="18"/>
              </w:rPr>
              <w:t>凡出现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“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苏果真实经营数据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”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之处，一律改为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“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基于公开行业数据构造的模拟演示数据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”</w:t>
            </w:r>
          </w:p>
        </w:tc>
      </w:tr>
      <w:tr>
        <w:tc>
          <w:tcPr>
            <w:tcW w:type="pct" w:w="300"/>
            <w:vAlign w:val="center"/>
            <w:tcBorders>
              <w:top w:val="single" w:sz="6" w:space="0" w:color="B9C7D6"/>
              <w:bottom w:val="single" w:sz="6" w:space="0" w:color="B9C7D6"/>
              <w:left w:val="single" w:sz="6" w:space="0" w:color="B9C7D6"/>
              <w:right w:val="single" w:sz="6" w:space="0" w:color="B9C7D6"/>
            </w:tcBorders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9" w:after="49"/>
            </w:pPr>
            <w:r>
              <w:rPr>
                <w:color w:val="1A1A1A"/>
                <w:sz w:val="18"/>
              </w:rPr>
              <w:t>9</w:t>
            </w:r>
          </w:p>
        </w:tc>
        <w:tc>
          <w:tcPr>
            <w:tcW w:type="pct" w:w="1200"/>
            <w:vAlign w:val="center"/>
            <w:tcBorders>
              <w:top w:val="single" w:sz="6" w:space="0" w:color="B9C7D6"/>
              <w:bottom w:val="single" w:sz="6" w:space="0" w:color="B9C7D6"/>
              <w:left w:val="single" w:sz="6" w:space="0" w:color="B9C7D6"/>
              <w:right w:val="single" w:sz="6" w:space="0" w:color="B9C7D6"/>
            </w:tcBorders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9" w:after="49"/>
            </w:pPr>
            <w:r>
              <w:rPr>
                <w:color w:val="1A1A1A"/>
                <w:sz w:val="18"/>
              </w:rPr>
              <w:t>致谢／声明中的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 xml:space="preserve"> AI 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使用说明</w:t>
            </w:r>
          </w:p>
        </w:tc>
        <w:tc>
          <w:tcPr>
            <w:tcW w:type="pct" w:w="3500"/>
            <w:vAlign w:val="center"/>
            <w:tcBorders>
              <w:top w:val="single" w:sz="6" w:space="0" w:color="B9C7D6"/>
              <w:bottom w:val="single" w:sz="6" w:space="0" w:color="B9C7D6"/>
              <w:left w:val="single" w:sz="6" w:space="0" w:color="B9C7D6"/>
              <w:right w:val="single" w:sz="6" w:space="0" w:color="B9C7D6"/>
            </w:tcBorders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9" w:after="49"/>
            </w:pPr>
            <w:r>
              <w:rPr>
                <w:color w:val="1A1A1A"/>
                <w:sz w:val="18"/>
              </w:rPr>
              <w:t>须如实填写本次工作使用了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 xml:space="preserve"> AI 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辅助工具（含代码缺陷定位、文档撰写与格式转换），并说明所有算法输出均由本地实测复核</w:t>
            </w:r>
          </w:p>
        </w:tc>
      </w:tr>
      <w:tr>
        <w:tc>
          <w:tcPr>
            <w:tcW w:type="pct" w:w="300"/>
            <w:vAlign w:val="center"/>
            <w:tcBorders>
              <w:top w:val="single" w:sz="6" w:space="0" w:color="B9C7D6"/>
              <w:bottom w:val="single" w:sz="6" w:space="0" w:color="B9C7D6"/>
              <w:left w:val="single" w:sz="6" w:space="0" w:color="B9C7D6"/>
              <w:right w:val="single" w:sz="6" w:space="0" w:color="B9C7D6"/>
            </w:tcBorders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9" w:after="49"/>
            </w:pPr>
            <w:r>
              <w:rPr>
                <w:color w:val="1A1A1A"/>
                <w:sz w:val="18"/>
              </w:rPr>
              <w:t>10</w:t>
            </w:r>
          </w:p>
        </w:tc>
        <w:tc>
          <w:tcPr>
            <w:tcW w:type="pct" w:w="1200"/>
            <w:vAlign w:val="center"/>
            <w:tcBorders>
              <w:top w:val="single" w:sz="6" w:space="0" w:color="B9C7D6"/>
              <w:bottom w:val="single" w:sz="6" w:space="0" w:color="B9C7D6"/>
              <w:left w:val="single" w:sz="6" w:space="0" w:color="B9C7D6"/>
              <w:right w:val="single" w:sz="6" w:space="0" w:color="B9C7D6"/>
            </w:tcBorders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9" w:after="49"/>
            </w:pPr>
            <w:r>
              <w:rPr>
                <w:color w:val="1A1A1A"/>
                <w:sz w:val="18"/>
              </w:rPr>
              <w:t>参考文献</w:t>
            </w:r>
          </w:p>
        </w:tc>
        <w:tc>
          <w:tcPr>
            <w:tcW w:type="pct" w:w="3500"/>
            <w:vAlign w:val="center"/>
            <w:tcBorders>
              <w:top w:val="single" w:sz="6" w:space="0" w:color="B9C7D6"/>
              <w:bottom w:val="single" w:sz="6" w:space="0" w:color="B9C7D6"/>
              <w:left w:val="single" w:sz="6" w:space="0" w:color="B9C7D6"/>
              <w:right w:val="single" w:sz="6" w:space="0" w:color="B9C7D6"/>
            </w:tcBorders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9" w:after="49"/>
            </w:pPr>
            <w:r>
              <w:rPr>
                <w:color w:val="1A1A1A"/>
                <w:sz w:val="18"/>
              </w:rPr>
              <w:t>本稿新增引用：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 xml:space="preserve">Min-Max 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标准化、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 xml:space="preserve">Apriori 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算法、讯飞星辰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 xml:space="preserve"> Agent 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平台；已删除对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 xml:space="preserve"> UCI 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数据集预测精度的引用</w:t>
            </w:r>
          </w:p>
        </w:tc>
      </w:tr>
    </w:tbl>
    <w:p>
      <w:bookmarkStart w:id="4" w:name="g4"/>
      <w:pPr>
        <w:pStyle w:val="Heading2"/>
      </w:pPr>
      <w:bookmarkEnd w:id="4"/>
      <w:r>
        <w:rPr>
          <w:color w:val="1F4E79"/>
          <w:sz w:val="27"/>
        </w:rPr>
        <w:t>四、合并时的五点提醒</w:t>
      </w:r>
    </w:p>
    <w:p>
      <w:pPr>
        <w:spacing w:line="420" w:lineRule="auto"/>
        <w:jc w:val="both"/>
      </w:pPr>
      <w:r>
        <w:rPr>
          <w:b/>
          <w:color w:val="1A1A1A"/>
          <w:sz w:val="21"/>
        </w:rPr>
        <w:t>第一，务必核对“数据不足”相关的表述是否被其他章节弱化。</w:t>
      </w:r>
      <w:r>
        <w:rPr>
          <w:color w:val="1A1A1A"/>
          <w:sz w:val="21"/>
        </w:rPr>
        <w:t>本稿在</w:t>
      </w:r>
      <w:r>
        <w:rPr>
          <w:color w:val="1A1A1A"/>
          <w:sz w:val="21"/>
        </w:rPr>
        <w:t xml:space="preserve"> 3.2.6</w:t>
      </w:r>
      <w:r>
        <w:rPr>
          <w:color w:val="1A1A1A"/>
          <w:sz w:val="21"/>
        </w:rPr>
        <w:t>、</w:t>
      </w:r>
      <w:r>
        <w:rPr>
          <w:color w:val="1A1A1A"/>
          <w:sz w:val="21"/>
        </w:rPr>
        <w:t>4.2.4</w:t>
      </w:r>
      <w:r>
        <w:rPr>
          <w:color w:val="1A1A1A"/>
          <w:sz w:val="21"/>
        </w:rPr>
        <w:t>、</w:t>
      </w:r>
      <w:r>
        <w:rPr>
          <w:color w:val="1A1A1A"/>
          <w:sz w:val="21"/>
        </w:rPr>
        <w:t>4.4.5</w:t>
      </w:r>
      <w:r>
        <w:rPr>
          <w:color w:val="1A1A1A"/>
          <w:sz w:val="21"/>
        </w:rPr>
        <w:t>、</w:t>
      </w:r>
      <w:r>
        <w:rPr>
          <w:color w:val="1A1A1A"/>
          <w:sz w:val="21"/>
        </w:rPr>
        <w:t xml:space="preserve">5.5.3 </w:t>
      </w:r>
      <w:r>
        <w:rPr>
          <w:color w:val="1A1A1A"/>
          <w:sz w:val="21"/>
        </w:rPr>
        <w:t>四处反复强调平台的数据边界（</w:t>
      </w:r>
      <w:r>
        <w:rPr>
          <w:color w:val="1A1A1A"/>
          <w:sz w:val="21"/>
        </w:rPr>
        <w:t xml:space="preserve">SKU </w:t>
      </w:r>
      <w:r>
        <w:rPr>
          <w:color w:val="1A1A1A"/>
          <w:sz w:val="21"/>
        </w:rPr>
        <w:t>级数据为</w:t>
      </w:r>
      <w:r>
        <w:rPr>
          <w:color w:val="1A1A1A"/>
          <w:sz w:val="21"/>
        </w:rPr>
        <w:t xml:space="preserve"> 0</w:t>
      </w:r>
      <w:r>
        <w:rPr>
          <w:color w:val="1A1A1A"/>
          <w:sz w:val="21"/>
        </w:rPr>
        <w:t>、会员数据缺失、自有品牌对照数据缺失）。若报告的其他章节使用了</w:t>
      </w:r>
      <w:r>
        <w:rPr>
          <w:color w:val="1A1A1A"/>
          <w:sz w:val="21"/>
        </w:rPr>
        <w:t>“</w:t>
      </w:r>
      <w:r>
        <w:rPr>
          <w:color w:val="1A1A1A"/>
          <w:sz w:val="21"/>
        </w:rPr>
        <w:t>全面覆盖</w:t>
      </w:r>
      <w:r>
        <w:rPr>
          <w:color w:val="1A1A1A"/>
          <w:sz w:val="21"/>
        </w:rPr>
        <w:t>”“</w:t>
      </w:r>
      <w:r>
        <w:rPr>
          <w:color w:val="1A1A1A"/>
          <w:sz w:val="21"/>
        </w:rPr>
        <w:t>精准预测</w:t>
      </w:r>
      <w:r>
        <w:rPr>
          <w:color w:val="1A1A1A"/>
          <w:sz w:val="21"/>
        </w:rPr>
        <w:t>”</w:t>
      </w:r>
      <w:r>
        <w:rPr>
          <w:color w:val="1A1A1A"/>
          <w:sz w:val="21"/>
        </w:rPr>
        <w:t>这类表述，会与本章产生直接矛盾，必须一并修正。这一组表述是本稿最需要保护的严谨性。</w:t>
      </w:r>
    </w:p>
    <w:p>
      <w:pPr>
        <w:spacing w:line="420" w:lineRule="auto"/>
        <w:jc w:val="both"/>
      </w:pPr>
      <w:r>
        <w:rPr>
          <w:b/>
          <w:color w:val="1A1A1A"/>
          <w:sz w:val="21"/>
        </w:rPr>
        <w:t>第二，5.3.3 的评分口径校准过程建议保留，不要删减。</w:t>
      </w:r>
      <w:r>
        <w:rPr>
          <w:color w:val="1A1A1A"/>
          <w:sz w:val="21"/>
        </w:rPr>
        <w:t>该节完整记录了健康度算法早期实现中</w:t>
      </w:r>
      <w:r>
        <w:rPr>
          <w:color w:val="1A1A1A"/>
          <w:sz w:val="21"/>
        </w:rPr>
        <w:t xml:space="preserve"> 240—938 </w:t>
      </w:r>
      <w:r>
        <w:rPr>
          <w:color w:val="1A1A1A"/>
          <w:sz w:val="21"/>
        </w:rPr>
        <w:t>分越界、</w:t>
      </w:r>
      <w:r>
        <w:rPr>
          <w:color w:val="1A1A1A"/>
          <w:sz w:val="21"/>
        </w:rPr>
        <w:t xml:space="preserve">7 </w:t>
      </w:r>
      <w:r>
        <w:rPr>
          <w:color w:val="1A1A1A"/>
          <w:sz w:val="21"/>
        </w:rPr>
        <w:t>品类全五星、子分出现负值的问题，以及根因（</w:t>
      </w:r>
      <w:r>
        <w:rPr>
          <w:color w:val="1A1A1A"/>
          <w:sz w:val="21"/>
        </w:rPr>
        <w:t xml:space="preserve">Min-Max </w:t>
      </w:r>
      <w:r>
        <w:rPr>
          <w:color w:val="1A1A1A"/>
          <w:sz w:val="21"/>
        </w:rPr>
        <w:t>分子分母口径不一致）与修复方案。删掉它会让第五章变成一份</w:t>
      </w:r>
      <w:r>
        <w:rPr>
          <w:color w:val="1A1A1A"/>
          <w:sz w:val="21"/>
        </w:rPr>
        <w:t>“</w:t>
      </w:r>
      <w:r>
        <w:rPr>
          <w:color w:val="1A1A1A"/>
          <w:sz w:val="21"/>
        </w:rPr>
        <w:t>一次就写对</w:t>
      </w:r>
      <w:r>
        <w:rPr>
          <w:color w:val="1A1A1A"/>
          <w:sz w:val="21"/>
        </w:rPr>
        <w:t>”</w:t>
      </w:r>
      <w:r>
        <w:rPr>
          <w:color w:val="1A1A1A"/>
          <w:sz w:val="21"/>
        </w:rPr>
        <w:t>的报告，反而降低可信度；保留它则同时展示三件事：研究过程具备复现与核查能力、有测试体系、有如实披露的态度。我们判断这在评审中属于加分项而非减分项。</w:t>
      </w:r>
    </w:p>
    <w:p>
      <w:pPr>
        <w:spacing w:line="420" w:lineRule="auto"/>
        <w:jc w:val="both"/>
      </w:pPr>
      <w:r>
        <w:rPr>
          <w:b/>
          <w:color w:val="1A1A1A"/>
          <w:sz w:val="21"/>
        </w:rPr>
        <w:t>第三，全部数值已本地实测复核，但请勿改动其中任何一个数字。</w:t>
      </w:r>
      <w:r>
        <w:rPr>
          <w:color w:val="1A1A1A"/>
          <w:sz w:val="21"/>
        </w:rPr>
        <w:t>本稿第三至六章出现的每一个具体数值</w:t>
      </w:r>
      <w:r>
        <w:rPr>
          <w:color w:val="1A1A1A"/>
          <w:sz w:val="21"/>
        </w:rPr>
        <w:t>——</w:t>
      </w:r>
      <w:r>
        <w:rPr>
          <w:color w:val="1A1A1A"/>
          <w:sz w:val="21"/>
        </w:rPr>
        <w:t>包括健康度子分、关联规则的支持度／置信度／提升度、预测值、环比变化率、表行数、代码行数</w:t>
      </w:r>
      <w:r>
        <w:rPr>
          <w:color w:val="1A1A1A"/>
          <w:sz w:val="21"/>
        </w:rPr>
        <w:t>——</w:t>
      </w:r>
      <w:r>
        <w:rPr>
          <w:color w:val="1A1A1A"/>
          <w:sz w:val="21"/>
        </w:rPr>
        <w:t>均取自平台</w:t>
      </w:r>
      <w:r>
        <w:rPr>
          <w:color w:val="1A1A1A"/>
          <w:sz w:val="21"/>
        </w:rPr>
        <w:t xml:space="preserve"> SQLite </w:t>
      </w:r>
      <w:r>
        <w:rPr>
          <w:color w:val="1A1A1A"/>
          <w:sz w:val="21"/>
        </w:rPr>
        <w:t>演示库的实读结果或后端算法函数的实算输出，并已逐项复核。原始数据包与复核脚本随交付件一并提供。若因排版调整而误改某个数字，将破坏全文的数一致性；如需更新数据，应重新执行</w:t>
      </w:r>
      <w:r>
        <w:rPr>
          <w:color w:val="1A1A1A"/>
          <w:sz w:val="21"/>
        </w:rPr>
        <w:t xml:space="preserve"> </w:t>
      </w:r>
      <w:r>
        <w:rPr>
          <w:rFonts w:ascii="Courier" w:hAnsi="Courier"/>
          <w:color w:val="1A1A1A"/>
          <w:sz w:val="21"/>
        </w:rPr>
        <w:t>POST /api/categories/recalculate</w:t>
      </w:r>
      <w:r>
        <w:rPr>
          <w:color w:val="1A1A1A"/>
          <w:sz w:val="21"/>
        </w:rPr>
        <w:t>、</w:t>
      </w:r>
      <w:r>
        <w:rPr>
          <w:rFonts w:ascii="Courier" w:hAnsi="Courier"/>
          <w:color w:val="1A1A1A"/>
          <w:sz w:val="21"/>
        </w:rPr>
        <w:t>POST /api/association-rules/recalculate</w:t>
      </w:r>
      <w:r>
        <w:rPr>
          <w:color w:val="1A1A1A"/>
          <w:sz w:val="21"/>
        </w:rPr>
        <w:t>、</w:t>
      </w:r>
      <w:r>
        <w:rPr>
          <w:rFonts w:ascii="Courier" w:hAnsi="Courier"/>
          <w:color w:val="1A1A1A"/>
          <w:sz w:val="21"/>
        </w:rPr>
        <w:t>POST /api/forecast/run</w:t>
      </w:r>
      <w:r>
        <w:rPr>
          <w:color w:val="1A1A1A"/>
          <w:sz w:val="21"/>
        </w:rPr>
        <w:t xml:space="preserve"> 三个接口后整体替换，而非手工修改。</w:t>
      </w:r>
    </w:p>
    <w:p>
      <w:pPr>
        <w:spacing w:line="420" w:lineRule="auto"/>
        <w:jc w:val="both"/>
      </w:pPr>
      <w:r>
        <w:rPr>
          <w:b/>
          <w:color w:val="1A1A1A"/>
          <w:sz w:val="21"/>
        </w:rPr>
        <w:t>第四，本稿在体裁上是“场景分析报告”正文，请勿在合并时引入版本比较或开发过程叙述。</w:t>
      </w:r>
      <w:r>
        <w:rPr>
          <w:color w:val="1A1A1A"/>
          <w:sz w:val="21"/>
        </w:rPr>
        <w:t>本稿已清除</w:t>
      </w:r>
      <w:r>
        <w:rPr>
          <w:color w:val="1A1A1A"/>
          <w:sz w:val="21"/>
        </w:rPr>
        <w:t>“</w:t>
      </w:r>
      <w:r>
        <w:rPr>
          <w:color w:val="1A1A1A"/>
          <w:sz w:val="21"/>
        </w:rPr>
        <w:t>与前一版相比</w:t>
      </w:r>
      <w:r>
        <w:rPr>
          <w:color w:val="1A1A1A"/>
          <w:sz w:val="21"/>
        </w:rPr>
        <w:t>”“</w:t>
      </w:r>
      <w:r>
        <w:rPr>
          <w:color w:val="1A1A1A"/>
          <w:sz w:val="21"/>
        </w:rPr>
        <w:t>本次修订</w:t>
      </w:r>
      <w:r>
        <w:rPr>
          <w:color w:val="1A1A1A"/>
          <w:sz w:val="21"/>
        </w:rPr>
        <w:t>”“</w:t>
      </w:r>
      <w:r>
        <w:rPr>
          <w:color w:val="1A1A1A"/>
          <w:sz w:val="21"/>
        </w:rPr>
        <w:t>本轮新增</w:t>
      </w:r>
      <w:r>
        <w:rPr>
          <w:color w:val="1A1A1A"/>
          <w:sz w:val="21"/>
        </w:rPr>
        <w:t>”</w:t>
      </w:r>
      <w:r>
        <w:rPr>
          <w:color w:val="1A1A1A"/>
          <w:sz w:val="21"/>
        </w:rPr>
        <w:t>等表述，并在关键定量段落后补入</w:t>
      </w:r>
      <w:r>
        <w:rPr>
          <w:color w:val="1A1A1A"/>
          <w:sz w:val="21"/>
        </w:rPr>
        <w:t>“</w:t>
      </w:r>
      <w:r>
        <w:rPr>
          <w:color w:val="1A1A1A"/>
          <w:sz w:val="21"/>
        </w:rPr>
        <w:t>数据来源：</w:t>
      </w:r>
      <w:r>
        <w:rPr>
          <w:color w:val="1A1A1A"/>
          <w:sz w:val="21"/>
        </w:rPr>
        <w:t>……”</w:t>
      </w:r>
      <w:r>
        <w:rPr>
          <w:color w:val="1A1A1A"/>
          <w:sz w:val="21"/>
        </w:rPr>
        <w:t>引注。若在合并过程中重新加入此类内容，会与全稿体裁不一致。所有工作性说明均集中在本附录，合并时应整体移除。</w:t>
      </w:r>
    </w:p>
    <w:p>
      <w:pPr>
        <w:spacing w:line="420" w:lineRule="auto"/>
        <w:jc w:val="both"/>
      </w:pPr>
      <w:r>
        <w:rPr>
          <w:b/>
          <w:color w:val="1A1A1A"/>
          <w:sz w:val="21"/>
        </w:rPr>
        <w:t>第五，第三章 3.1／3.2 与 3.3 的分工不同，合并时不要回填。</w:t>
      </w:r>
      <w:r>
        <w:rPr>
          <w:color w:val="1A1A1A"/>
          <w:sz w:val="21"/>
        </w:rPr>
        <w:t>本稿</w:t>
      </w:r>
      <w:r>
        <w:rPr>
          <w:color w:val="1A1A1A"/>
          <w:sz w:val="21"/>
        </w:rPr>
        <w:t xml:space="preserve"> 3.1 </w:t>
      </w:r>
      <w:r>
        <w:rPr>
          <w:color w:val="1A1A1A"/>
          <w:sz w:val="21"/>
        </w:rPr>
        <w:t>与</w:t>
      </w:r>
      <w:r>
        <w:rPr>
          <w:color w:val="1A1A1A"/>
          <w:sz w:val="21"/>
        </w:rPr>
        <w:t xml:space="preserve"> 3.2 </w:t>
      </w:r>
      <w:r>
        <w:rPr>
          <w:color w:val="1A1A1A"/>
          <w:sz w:val="21"/>
        </w:rPr>
        <w:t>为纯理论部分，只讲框架、理论内涵与设计原则，不出现接口路径、页面路由、数据表行数与实测数值；相关内容全部落在第四章（设计与实现）与第五章（实证）。但</w:t>
      </w:r>
      <w:r>
        <w:rPr>
          <w:color w:val="1A1A1A"/>
          <w:sz w:val="21"/>
        </w:rPr>
        <w:t xml:space="preserve"> </w:t>
      </w:r>
      <w:r>
        <w:rPr>
          <w:b/>
          <w:color w:val="1A1A1A"/>
          <w:sz w:val="21"/>
        </w:rPr>
        <w:t>3.3「痛点到AI解法的映射」是有意保留平台内容的</w:t>
      </w:r>
      <w:r>
        <w:rPr>
          <w:color w:val="1A1A1A"/>
          <w:sz w:val="21"/>
        </w:rPr>
        <w:t>——</w:t>
      </w:r>
      <w:r>
        <w:rPr>
          <w:color w:val="1A1A1A"/>
          <w:sz w:val="21"/>
        </w:rPr>
        <w:t>它是第三章通向第四章的引桥，需要给出每个痛点在平台上落在哪个模块、完成到什么程度。若在合并时把</w:t>
      </w:r>
      <w:r>
        <w:rPr>
          <w:color w:val="1A1A1A"/>
          <w:sz w:val="21"/>
        </w:rPr>
        <w:t xml:space="preserve"> 3.1</w:t>
      </w:r>
      <w:r>
        <w:rPr>
          <w:color w:val="1A1A1A"/>
          <w:sz w:val="21"/>
        </w:rPr>
        <w:t>／</w:t>
      </w:r>
      <w:r>
        <w:rPr>
          <w:color w:val="1A1A1A"/>
          <w:sz w:val="21"/>
        </w:rPr>
        <w:t xml:space="preserve">3.2 </w:t>
      </w:r>
      <w:r>
        <w:rPr>
          <w:color w:val="1A1A1A"/>
          <w:sz w:val="21"/>
        </w:rPr>
        <w:t>的实现细节补回去，会重新造成</w:t>
      </w:r>
      <w:r>
        <w:rPr>
          <w:color w:val="1A1A1A"/>
          <w:sz w:val="21"/>
        </w:rPr>
        <w:t>“</w:t>
      </w:r>
      <w:r>
        <w:rPr>
          <w:color w:val="1A1A1A"/>
          <w:sz w:val="21"/>
        </w:rPr>
        <w:t>理论章里讲实现</w:t>
      </w:r>
      <w:r>
        <w:rPr>
          <w:color w:val="1A1A1A"/>
          <w:sz w:val="21"/>
        </w:rPr>
        <w:t>”</w:t>
      </w:r>
      <w:r>
        <w:rPr>
          <w:color w:val="1A1A1A"/>
          <w:sz w:val="21"/>
        </w:rPr>
        <w:t>的断裂；反之，若把</w:t>
      </w:r>
      <w:r>
        <w:rPr>
          <w:color w:val="1A1A1A"/>
          <w:sz w:val="21"/>
        </w:rPr>
        <w:t xml:space="preserve"> 3.3 </w:t>
      </w:r>
      <w:r>
        <w:rPr>
          <w:color w:val="1A1A1A"/>
          <w:sz w:val="21"/>
        </w:rPr>
        <w:t>的平台内容再抽走，则第三章与第四章之间会失去衔接。第五章的</w:t>
      </w:r>
      <w:r>
        <w:rPr>
          <w:color w:val="1A1A1A"/>
          <w:sz w:val="21"/>
        </w:rPr>
        <w:t xml:space="preserve"> 5.1.1</w:t>
      </w:r>
      <w:r>
        <w:rPr>
          <w:color w:val="1A1A1A"/>
          <w:sz w:val="21"/>
        </w:rPr>
        <w:t>、</w:t>
      </w:r>
      <w:r>
        <w:rPr>
          <w:color w:val="1A1A1A"/>
          <w:sz w:val="21"/>
        </w:rPr>
        <w:t xml:space="preserve">5.4.1 </w:t>
      </w:r>
      <w:r>
        <w:rPr>
          <w:color w:val="1A1A1A"/>
          <w:sz w:val="21"/>
        </w:rPr>
        <w:t>引用</w:t>
      </w:r>
      <w:r>
        <w:rPr>
          <w:color w:val="1A1A1A"/>
          <w:sz w:val="21"/>
        </w:rPr>
        <w:t xml:space="preserve"> 3.2.6 </w:t>
      </w:r>
      <w:r>
        <w:rPr>
          <w:color w:val="1A1A1A"/>
          <w:sz w:val="21"/>
        </w:rPr>
        <w:t>的原则属正常引用，不必改动。</w:t>
      </w:r>
      <w:r/>
      <w:r/>
      <w:r/>
    </w:p>
    <w:sectPr w:rsidR="00FC693F" w:rsidRPr="0006063C" w:rsidSect="00034616">
      <w:headerReference w:type="default" r:id="rId9"/>
      <w:footerReference w:type="default" r:id="rId10"/>
      <w:pgSz w:w="11906" w:h="16838"/>
      <w:pgMar w:top="1440" w:right="1797" w:bottom="1440" w:left="1797" w:header="720" w:footer="720" w:gutter="0"/>
      <w:cols w:space="720"/>
      <w:docGrid w:linePitch="360"/>
      <w:pgNumType w:start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4156" w:val="center"/>
        <w:tab w:pos="8312" w:val="right"/>
      </w:tabs>
    </w:pPr>
    <w:r>
      <w:tab/>
    </w:r>
    <w:fldSimple w:instr="PAGE">
      <w:r>
        <w:t/>
      </w:r>
    </w:fldSimple>
    <w:r>
      <w:t xml:space="preserve"> / </w:t>
    </w:r>
    <w:fldSimple w:instr="NUMPAGES">
      <w:r>
        <w:t/>
      </w:r>
    </w:fldSimple>
    <w:r>
      <w:tab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4156" w:val="center"/>
        <w:tab w:pos="8312" w:val="right"/>
      </w:tabs>
    </w:pPr>
    <w:r>
      <w:tab/>
    </w:r>
    <w:r>
      <w:tab/>
    </w:r>
    <w:r>
      <w:fldChar w:fldCharType="begin"/>
    </w:r>
    <w:r>
      <w:instrText xml:space="preserve"> STYLEREF Heading1 \* MERGEFORMAT </w:instrText>
    </w:r>
    <w:r>
      <w:fldChar w:fldCharType="end"/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57" w:lineRule="auto" w:before="60" w:after="120"/>
      <w:jc w:val="both"/>
    </w:pPr>
    <w:rPr>
      <w:color w:val="1A1A1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00" w:after="240"/>
      <w:outlineLvl w:val="0"/>
    </w:pPr>
    <w:rPr>
      <w:rFonts w:asciiTheme="majorHAnsi" w:eastAsiaTheme="majorEastAsia" w:hAnsiTheme="majorHAnsi" w:cstheme="majorBidi"/>
      <w:b/>
      <w:bCs/>
      <w:color w:val="1F4E79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300" w:after="160"/>
      <w:outlineLvl w:val="1"/>
    </w:pPr>
    <w:rPr>
      <w:rFonts w:asciiTheme="majorHAnsi" w:eastAsiaTheme="majorEastAsia" w:hAnsiTheme="majorHAnsi" w:cstheme="majorBidi"/>
      <w:b/>
      <w:bCs/>
      <w:color w:val="1F4E79"/>
      <w:sz w:val="27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/>
      <w:outlineLvl w:val="2"/>
    </w:pPr>
    <w:rPr>
      <w:rFonts w:asciiTheme="majorHAnsi" w:eastAsiaTheme="majorEastAsia" w:hAnsiTheme="majorHAnsi" w:cstheme="majorBidi"/>
      <w:b/>
      <w:bCs/>
      <w:color w:val="2C3E50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100"/>
      <w:outlineLvl w:val="3"/>
    </w:pPr>
    <w:rPr>
      <w:rFonts w:asciiTheme="majorHAnsi" w:eastAsiaTheme="majorEastAsia" w:hAnsiTheme="majorHAnsi" w:cstheme="majorBidi"/>
      <w:b/>
      <w:bCs/>
      <w:i/>
      <w:iCs/>
      <w:color w:val="2C3E50"/>
      <w:sz w:val="2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