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 w:before="3000" w:after="120"/>
        <w:jc w:val="center"/>
      </w:pPr>
      <w:r>
        <w:rPr>
          <w:color w:val="1F4E79"/>
          <w:sz w:val="48"/>
        </w:rPr>
        <w:t>第三至六章改写稿</w:t>
      </w:r>
    </w:p>
    <w:p>
      <w:pPr>
        <w:spacing w:line="420" w:lineRule="auto" w:after="60"/>
        <w:jc w:val="center"/>
      </w:pPr>
      <w:r>
        <w:rPr>
          <w:color w:val="2C3E50"/>
          <w:sz w:val="26"/>
        </w:rPr>
        <w:t>使用说明与联动修改清单</w:t>
      </w:r>
    </w:p>
    <w:p>
      <w:pPr>
        <w:spacing w:line="420" w:lineRule="auto"/>
        <w:jc w:val="center"/>
      </w:pPr>
      <w:r>
        <w:rPr>
          <w:color w:val="6A6A6A"/>
          <w:sz w:val="19"/>
        </w:rPr>
        <w:t>供把改写稿合并回原《</w:t>
      </w:r>
      <w:r>
        <w:rPr>
          <w:color w:val="6A6A6A"/>
          <w:sz w:val="19"/>
        </w:rPr>
        <w:t>AI</w:t>
      </w:r>
      <w:r>
        <w:rPr>
          <w:color w:val="6A6A6A"/>
          <w:sz w:val="19"/>
        </w:rPr>
        <w:t>超市选品</w:t>
      </w:r>
      <w:r>
        <w:rPr>
          <w:color w:val="6A6A6A"/>
          <w:sz w:val="19"/>
        </w:rPr>
        <w:t>_</w:t>
      </w:r>
      <w:r>
        <w:rPr>
          <w:color w:val="6A6A6A"/>
          <w:sz w:val="19"/>
        </w:rPr>
        <w:t>场景分析报告</w:t>
      </w:r>
      <w:r>
        <w:rPr>
          <w:color w:val="6A6A6A"/>
          <w:sz w:val="19"/>
        </w:rPr>
        <w:t>.docx</w:t>
      </w:r>
      <w:r>
        <w:rPr>
          <w:color w:val="6A6A6A"/>
          <w:sz w:val="19"/>
        </w:rPr>
        <w:t>》时使用</w:t>
      </w:r>
    </w:p>
    <w:p>
      <w:pPr>
        <w:spacing w:line="420" w:lineRule="auto"/>
        <w:jc w:val="center"/>
      </w:pPr>
      <w:r>
        <w:rPr>
          <w:color w:val="6A6A6A"/>
          <w:sz w:val="19"/>
        </w:rPr>
        <w:t>2026</w:t>
      </w:r>
      <w:r>
        <w:rPr>
          <w:color w:val="6A6A6A"/>
          <w:sz w:val="19"/>
        </w:rPr>
        <w:t>年江苏省研究生</w:t>
      </w:r>
      <w:r>
        <w:rPr>
          <w:color w:val="6A6A6A"/>
          <w:sz w:val="19"/>
        </w:rPr>
        <w:t>“</w:t>
      </w:r>
      <w:r>
        <w:rPr>
          <w:color w:val="6A6A6A"/>
          <w:sz w:val="19"/>
        </w:rPr>
        <w:t>人工智能赋能企业管理场景应用设计</w:t>
      </w:r>
      <w:r>
        <w:rPr>
          <w:color w:val="6A6A6A"/>
          <w:sz w:val="19"/>
        </w:rPr>
        <w:t>”</w:t>
      </w:r>
      <w:r>
        <w:rPr>
          <w:color w:val="6A6A6A"/>
          <w:sz w:val="19"/>
        </w:rPr>
        <w:t>大赛</w:t>
      </w:r>
      <w:r/>
    </w:p>
    <w:p>
      <w:pPr>
        <w:sectPr>
          <w:type w:val="nextPage"/>
          <w:pgSz w:w="11906" w:h="16838"/>
          <w:pgMar w:top="1440" w:bottom="1440" w:left="1797" w:right="1797"/>
        </w:sectPr>
      </w:pPr>
    </w:p>
    <w:p>
      <w:bookmarkStart w:id="0" w:name="c6g"/>
      <w:pPr>
        <w:pStyle w:val="Heading1"/>
      </w:pPr>
      <w:bookmarkEnd w:id="0"/>
      <w:r>
        <w:rPr>
          <w:color w:val="1F4E79"/>
          <w:sz w:val="34"/>
        </w:rPr>
        <w:t>第三至六章改写稿　使用说明与联动修改清单</w:t>
      </w:r>
    </w:p>
    <w:p>
      <w:pPr>
        <w:spacing w:line="420" w:lineRule="auto"/>
        <w:jc w:val="both"/>
      </w:pPr>
      <w:r>
        <w:rPr>
          <w:color w:val="1A1A1A"/>
          <w:sz w:val="21"/>
        </w:rPr>
        <w:t>本附录说明本稿的性质、与原文的差异，以及合并回原报告时需要同步修改的内容。本附录</w:t>
      </w:r>
      <w:r>
        <w:rPr>
          <w:b/>
          <w:color w:val="1A1A1A"/>
          <w:sz w:val="21"/>
        </w:rPr>
        <w:t>不属于比赛报告正文</w:t>
      </w:r>
      <w:r>
        <w:rPr>
          <w:color w:val="1A1A1A"/>
          <w:sz w:val="21"/>
        </w:rPr>
        <w:t>，是交付给作者本人的操作说明。</w:t>
      </w:r>
    </w:p>
    <w:p>
      <w:bookmarkStart w:id="1" w:name="g1"/>
      <w:pPr>
        <w:pStyle w:val="Heading2"/>
      </w:pPr>
      <w:bookmarkEnd w:id="1"/>
      <w:r>
        <w:rPr>
          <w:color w:val="1F4E79"/>
          <w:sz w:val="27"/>
        </w:rPr>
        <w:t>一、本文件的性质与范围</w:t>
      </w:r>
    </w:p>
    <w:p>
      <w:pPr>
        <w:spacing w:line="420" w:lineRule="auto"/>
        <w:jc w:val="both"/>
      </w:pPr>
      <w:r>
        <w:rPr>
          <w:color w:val="1A1A1A"/>
          <w:sz w:val="21"/>
        </w:rPr>
        <w:t>本稿是《</w:t>
      </w:r>
      <w:r>
        <w:rPr>
          <w:color w:val="1A1A1A"/>
          <w:sz w:val="21"/>
        </w:rPr>
        <w:t>AI</w:t>
      </w:r>
      <w:r>
        <w:rPr>
          <w:color w:val="1A1A1A"/>
          <w:sz w:val="21"/>
        </w:rPr>
        <w:t>驱动的社区商超智能选品与品类优化研究》场景分析报告第三、四、五、六章的</w:t>
      </w:r>
      <w:r>
        <w:rPr>
          <w:b/>
          <w:color w:val="1A1A1A"/>
          <w:sz w:val="21"/>
        </w:rPr>
        <w:t>替换稿</w:t>
      </w:r>
      <w:r>
        <w:rPr>
          <w:color w:val="1A1A1A"/>
          <w:sz w:val="21"/>
        </w:rPr>
        <w:t>。使用方式为整章替换，而非逐段修改</w:t>
      </w:r>
      <w:r>
        <w:rPr>
          <w:color w:val="1A1A1A"/>
          <w:sz w:val="21"/>
        </w:rPr>
        <w:t>——</w:t>
      </w:r>
      <w:r>
        <w:rPr>
          <w:color w:val="1A1A1A"/>
          <w:sz w:val="21"/>
        </w:rPr>
        <w:t>原因是本稿依据的工程事实已从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单文件</w:t>
      </w:r>
      <w:r>
        <w:rPr>
          <w:color w:val="1A1A1A"/>
          <w:sz w:val="21"/>
        </w:rPr>
        <w:t xml:space="preserve"> HTML </w:t>
      </w:r>
      <w:r>
        <w:rPr>
          <w:color w:val="1A1A1A"/>
          <w:sz w:val="21"/>
        </w:rPr>
        <w:t>前端＋自研后台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的原型，切换为</w:t>
      </w:r>
      <w:r>
        <w:rPr>
          <w:color w:val="1A1A1A"/>
          <w:sz w:val="21"/>
        </w:rPr>
        <w:t>“React 18</w:t>
      </w:r>
      <w:r>
        <w:rPr>
          <w:color w:val="1A1A1A"/>
          <w:sz w:val="21"/>
        </w:rPr>
        <w:t>＋</w:t>
      </w:r>
      <w:r>
        <w:rPr>
          <w:color w:val="1A1A1A"/>
          <w:sz w:val="21"/>
        </w:rPr>
        <w:t xml:space="preserve">TypeScript </w:t>
      </w:r>
      <w:r>
        <w:rPr>
          <w:color w:val="1A1A1A"/>
          <w:sz w:val="21"/>
        </w:rPr>
        <w:t>前端＋</w:t>
      </w:r>
      <w:r>
        <w:rPr>
          <w:color w:val="1A1A1A"/>
          <w:sz w:val="21"/>
        </w:rPr>
        <w:t xml:space="preserve">FastAPI </w:t>
      </w:r>
      <w:r>
        <w:rPr>
          <w:color w:val="1A1A1A"/>
          <w:sz w:val="21"/>
        </w:rPr>
        <w:t>后端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的完整工程化版本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苏果智选</w:t>
      </w:r>
      <w:r>
        <w:rPr>
          <w:color w:val="1A1A1A"/>
          <w:sz w:val="21"/>
        </w:rPr>
        <w:t>”v1.0</w:t>
      </w:r>
      <w:r>
        <w:rPr>
          <w:color w:val="1A1A1A"/>
          <w:sz w:val="21"/>
        </w:rPr>
        <w:t>，两套事实的差异贯穿架构、接口、数据与全部实证数值，逐段修改的改动量大于整章替换。</w:t>
      </w:r>
    </w:p>
    <w:p>
      <w:pPr>
        <w:spacing w:line="420" w:lineRule="auto"/>
        <w:jc w:val="both"/>
      </w:pPr>
      <w:r>
        <w:rPr>
          <w:color w:val="1A1A1A"/>
          <w:sz w:val="21"/>
        </w:rPr>
        <w:t>本稿</w:t>
      </w:r>
      <w:r>
        <w:rPr>
          <w:b/>
          <w:color w:val="1A1A1A"/>
          <w:sz w:val="21"/>
        </w:rPr>
        <w:t>保留原报告的章节框架</w:t>
      </w:r>
      <w:r>
        <w:rPr>
          <w:color w:val="1A1A1A"/>
          <w:sz w:val="21"/>
        </w:rPr>
        <w:t>：第三章</w:t>
      </w:r>
      <w:r>
        <w:rPr>
          <w:color w:val="1A1A1A"/>
          <w:sz w:val="21"/>
        </w:rPr>
        <w:t xml:space="preserve"> 3.1—3.3</w:t>
      </w:r>
      <w:r>
        <w:rPr>
          <w:color w:val="1A1A1A"/>
          <w:sz w:val="21"/>
        </w:rPr>
        <w:t>、第四章</w:t>
      </w:r>
      <w:r>
        <w:rPr>
          <w:color w:val="1A1A1A"/>
          <w:sz w:val="21"/>
        </w:rPr>
        <w:t xml:space="preserve"> 4.1—4.5</w:t>
      </w:r>
      <w:r>
        <w:rPr>
          <w:color w:val="1A1A1A"/>
          <w:sz w:val="21"/>
        </w:rPr>
        <w:t>、第五章</w:t>
      </w:r>
      <w:r>
        <w:rPr>
          <w:color w:val="1A1A1A"/>
          <w:sz w:val="21"/>
        </w:rPr>
        <w:t xml:space="preserve"> 5.1—5.5</w:t>
      </w:r>
      <w:r>
        <w:rPr>
          <w:color w:val="1A1A1A"/>
          <w:sz w:val="21"/>
        </w:rPr>
        <w:t>、第六章</w:t>
      </w:r>
      <w:r>
        <w:rPr>
          <w:color w:val="1A1A1A"/>
          <w:sz w:val="21"/>
        </w:rPr>
        <w:t xml:space="preserve"> 6.1—6.3 </w:t>
      </w:r>
      <w:r>
        <w:rPr>
          <w:color w:val="1A1A1A"/>
          <w:sz w:val="21"/>
        </w:rPr>
        <w:t>的二级结构与次序完全一致。在此前提下有四类贴合实际的调整，均需在合并时知悉。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其一，三级条目有两处标题微调。</w:t>
      </w:r>
      <w:r>
        <w:rPr>
          <w:color w:val="1A1A1A"/>
          <w:sz w:val="21"/>
        </w:rPr>
        <w:t xml:space="preserve">4.3.5 </w:t>
      </w:r>
      <w:r>
        <w:rPr>
          <w:color w:val="1A1A1A"/>
          <w:sz w:val="21"/>
        </w:rPr>
        <w:t>由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前后端双实现与一致性验证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改为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前后端职责边界与一致性验证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（新工程为单一后端，不存在双实现）；</w:t>
      </w:r>
      <w:r>
        <w:rPr>
          <w:color w:val="1A1A1A"/>
          <w:sz w:val="21"/>
        </w:rPr>
        <w:t xml:space="preserve">5.5.1 </w:t>
      </w:r>
      <w:r>
        <w:rPr>
          <w:color w:val="1A1A1A"/>
          <w:sz w:val="21"/>
        </w:rPr>
        <w:t>由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五层自动化验证体系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改为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自动化验证体系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（新工程为</w:t>
      </w:r>
      <w:r>
        <w:rPr>
          <w:color w:val="1A1A1A"/>
          <w:sz w:val="21"/>
        </w:rPr>
        <w:t xml:space="preserve"> pytest </w:t>
      </w:r>
      <w:r>
        <w:rPr>
          <w:color w:val="1A1A1A"/>
          <w:sz w:val="21"/>
        </w:rPr>
        <w:t>单元测试体系）；</w:t>
      </w:r>
      <w:r>
        <w:rPr>
          <w:color w:val="1A1A1A"/>
          <w:sz w:val="21"/>
        </w:rPr>
        <w:t xml:space="preserve">5.4.3 </w:t>
      </w:r>
      <w:r>
        <w:rPr>
          <w:color w:val="1A1A1A"/>
          <w:sz w:val="21"/>
        </w:rPr>
        <w:t>由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局限说明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改为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预测精度的说明：为何不报告精度指标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，标题与内容一致化。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其二，第三章 3.2 下增加两个三级条目（3.2.6、3.2.7）。</w:t>
      </w:r>
      <w:r>
        <w:rPr>
          <w:color w:val="1A1A1A"/>
          <w:sz w:val="21"/>
        </w:rPr>
        <w:t>原框架</w:t>
      </w:r>
      <w:r>
        <w:rPr>
          <w:color w:val="1A1A1A"/>
          <w:sz w:val="21"/>
        </w:rPr>
        <w:t xml:space="preserve"> 3.2 </w:t>
      </w:r>
      <w:r>
        <w:rPr>
          <w:color w:val="1A1A1A"/>
          <w:sz w:val="21"/>
        </w:rPr>
        <w:t>下设五个条目（</w:t>
      </w:r>
      <w:r>
        <w:rPr>
          <w:color w:val="1A1A1A"/>
          <w:sz w:val="21"/>
        </w:rPr>
        <w:t>3.2.1—3.2.5</w:t>
      </w:r>
      <w:r>
        <w:rPr>
          <w:color w:val="1A1A1A"/>
          <w:sz w:val="21"/>
        </w:rPr>
        <w:t>）。平台建设过程中形成的两条贯穿性约束</w:t>
      </w:r>
      <w:r>
        <w:rPr>
          <w:color w:val="1A1A1A"/>
          <w:sz w:val="21"/>
        </w:rPr>
        <w:t>——“</w:t>
      </w:r>
      <w:r>
        <w:rPr>
          <w:color w:val="1A1A1A"/>
          <w:sz w:val="21"/>
        </w:rPr>
        <w:t>数据不足时拒绝输出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与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高影响建议必须人工审批</w:t>
      </w:r>
      <w:r>
        <w:rPr>
          <w:color w:val="1A1A1A"/>
          <w:sz w:val="21"/>
        </w:rPr>
        <w:t>”——</w:t>
      </w:r>
      <w:r>
        <w:rPr>
          <w:color w:val="1A1A1A"/>
          <w:sz w:val="21"/>
        </w:rPr>
        <w:t>在原框架中没有承载位置，故补为</w:t>
      </w:r>
      <w:r>
        <w:rPr>
          <w:color w:val="1A1A1A"/>
          <w:sz w:val="21"/>
        </w:rPr>
        <w:t xml:space="preserve"> 3.2.6 </w:t>
      </w:r>
      <w:r>
        <w:rPr>
          <w:color w:val="1A1A1A"/>
          <w:sz w:val="21"/>
        </w:rPr>
        <w:t>与</w:t>
      </w:r>
      <w:r>
        <w:rPr>
          <w:color w:val="1A1A1A"/>
          <w:sz w:val="21"/>
        </w:rPr>
        <w:t xml:space="preserve"> 3.2.7</w:t>
      </w:r>
      <w:r>
        <w:rPr>
          <w:color w:val="1A1A1A"/>
          <w:sz w:val="21"/>
        </w:rPr>
        <w:t>。这两节内容被后续章节多处交叉引用（</w:t>
      </w:r>
      <w:r>
        <w:rPr>
          <w:color w:val="1A1A1A"/>
          <w:sz w:val="21"/>
        </w:rPr>
        <w:t xml:space="preserve">3.2.6 </w:t>
      </w:r>
      <w:r>
        <w:rPr>
          <w:color w:val="1A1A1A"/>
          <w:sz w:val="21"/>
        </w:rPr>
        <w:t>被</w:t>
      </w:r>
      <w:r>
        <w:rPr>
          <w:color w:val="1A1A1A"/>
          <w:sz w:val="21"/>
        </w:rPr>
        <w:t xml:space="preserve"> 4.4.5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 xml:space="preserve">5.5.3 </w:t>
      </w:r>
      <w:r>
        <w:rPr>
          <w:color w:val="1A1A1A"/>
          <w:sz w:val="21"/>
        </w:rPr>
        <w:t>引用；</w:t>
      </w:r>
      <w:r>
        <w:rPr>
          <w:color w:val="1A1A1A"/>
          <w:sz w:val="21"/>
        </w:rPr>
        <w:t xml:space="preserve">3.2.7 </w:t>
      </w:r>
      <w:r>
        <w:rPr>
          <w:color w:val="1A1A1A"/>
          <w:sz w:val="21"/>
        </w:rPr>
        <w:t>被</w:t>
      </w:r>
      <w:r>
        <w:rPr>
          <w:color w:val="1A1A1A"/>
          <w:sz w:val="21"/>
        </w:rPr>
        <w:t xml:space="preserve"> 4.2.5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>5.5.4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 xml:space="preserve">6.3 </w:t>
      </w:r>
      <w:r>
        <w:rPr>
          <w:color w:val="1A1A1A"/>
          <w:sz w:val="21"/>
        </w:rPr>
        <w:t>引用），删除后文将失去依据，因此建议保留。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其三，正文前增加一节“数据性质与来源说明”。</w:t>
      </w:r>
      <w:r>
        <w:rPr>
          <w:color w:val="1A1A1A"/>
          <w:sz w:val="21"/>
        </w:rPr>
        <w:t>该节是数据免责声明的正文版本，性质对应原文附录</w:t>
      </w:r>
      <w:r>
        <w:rPr>
          <w:color w:val="1A1A1A"/>
          <w:sz w:val="21"/>
        </w:rPr>
        <w:t xml:space="preserve"> B </w:t>
      </w:r>
      <w:r>
        <w:rPr>
          <w:color w:val="1A1A1A"/>
          <w:sz w:val="21"/>
        </w:rPr>
        <w:t>的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数据免责声明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。合并时建议将其移至报告前置部分（摘要与目录之后、第一章之前），或与附录</w:t>
      </w:r>
      <w:r>
        <w:rPr>
          <w:color w:val="1A1A1A"/>
          <w:sz w:val="21"/>
        </w:rPr>
        <w:t xml:space="preserve"> B </w:t>
      </w:r>
      <w:r>
        <w:rPr>
          <w:color w:val="1A1A1A"/>
          <w:sz w:val="21"/>
        </w:rPr>
        <w:t>的免责声明合并；若保留在第三章之前，其标题为一级标题，会使目录中出现一个未编号条目，需相应调整目录。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其四，正文体裁已按“场景分析报告”规范统一。</w:t>
      </w:r>
      <w:r>
        <w:rPr>
          <w:color w:val="1A1A1A"/>
          <w:sz w:val="21"/>
        </w:rPr>
        <w:t>具体包括：取消原有的彩色提示框与四级标题，一律改为段落叙述；在关键定量段落后补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数据来源：</w:t>
      </w:r>
      <w:r>
        <w:rPr>
          <w:color w:val="1A1A1A"/>
          <w:sz w:val="21"/>
        </w:rPr>
        <w:t>……”</w:t>
      </w:r>
      <w:r>
        <w:rPr>
          <w:color w:val="1A1A1A"/>
          <w:sz w:val="21"/>
        </w:rPr>
        <w:t>独立引注，与原文的引注体例保持一致；清除全部版本比较与开发过程叙述（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与前一版修订稿的差异</w:t>
      </w:r>
      <w:r>
        <w:rPr>
          <w:color w:val="1A1A1A"/>
          <w:sz w:val="21"/>
        </w:rPr>
        <w:t>”“</w:t>
      </w:r>
      <w:r>
        <w:rPr>
          <w:color w:val="1A1A1A"/>
          <w:sz w:val="21"/>
        </w:rPr>
        <w:t>本次撰写过程中</w:t>
      </w:r>
      <w:r>
        <w:rPr>
          <w:color w:val="1A1A1A"/>
          <w:sz w:val="21"/>
        </w:rPr>
        <w:t>”“</w:t>
      </w:r>
      <w:r>
        <w:rPr>
          <w:color w:val="1A1A1A"/>
          <w:sz w:val="21"/>
        </w:rPr>
        <w:t>本轮新增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等），改为报告正文应有的表述。</w:t>
      </w:r>
    </w:p>
    <w:p>
      <w:bookmarkStart w:id="2" w:name="g2"/>
      <w:pPr>
        <w:pStyle w:val="Heading2"/>
      </w:pPr>
      <w:bookmarkEnd w:id="2"/>
      <w:r>
        <w:rPr>
          <w:color w:val="1F4E79"/>
          <w:sz w:val="27"/>
        </w:rPr>
        <w:t>二、与原文相比的主要改动（按重要性排序）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1728"/>
        <w:gridCol w:w="3197"/>
        <w:gridCol w:w="3197"/>
      </w:tblGrid>
      <w:tr>
        <w:tc>
          <w:tcPr>
            <w:tcW w:type="pct" w:w="30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序</w:t>
            </w:r>
          </w:p>
        </w:tc>
        <w:tc>
          <w:tcPr>
            <w:tcW w:type="pct" w:w="100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改动点</w:t>
            </w:r>
          </w:p>
        </w:tc>
        <w:tc>
          <w:tcPr>
            <w:tcW w:type="pct" w:w="185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原文表述</w:t>
            </w:r>
          </w:p>
        </w:tc>
        <w:tc>
          <w:tcPr>
            <w:tcW w:type="pct" w:w="185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本稿表述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工程形态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未明确前端形态；后台为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张表、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47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个接口路径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前端为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React 18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TypeScript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单页应用（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12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个页面）；后端为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FastAPI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SQLAlchemy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（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20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张表、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个业务接口、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13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个路由模块）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健康度分值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沿用旧原型实测值（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100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77.7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70.6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50.3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25.4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13.5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0.6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）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全部替换为新工程实测值：系统重算轨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91.83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91.75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64.76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43.19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32.46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10.57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2.96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；附件参考轨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78.5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73.4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71.2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65.8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58.3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48.7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42.1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关联规则数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 xml:space="preserve">30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条规则，提升度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3.771—6.331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系统重算轨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9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条（提升度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4.47—6.16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）＋附件参考轨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22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条（提升度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1.15—2.15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），共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31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算法口径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健康度采用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“5%—95%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分位边界收敛＋相对标准化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60%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＋行业基准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40%”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改为纯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Min-Max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相对标准化（对标域为本店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7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个品类），并确立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分子分母同口径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不变式；不叠加行业基准分。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5.3.3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完整记录了修复前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240—938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分越界的缺陷与根因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需求预测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引用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UCI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公开数据集的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MAPE 12%—18%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b/>
                <w:color w:val="1A1A1A"/>
                <w:sz w:val="18"/>
              </w:rPr>
              <w:t>不再沿用该精度指标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，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5.4.3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给出三条理由（未做样本外回测、序列仅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12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期、模型无季节项）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6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 xml:space="preserve">Apriori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能力边界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未提及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明确声明当前频繁项集只计算到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项集，只能生成二元规则，不能生成三品组合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测试体系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五层自动化验证体系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 xml:space="preserve">pytest 14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项测试（原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11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项＋新增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项回归），并说明测试清理逻辑的加固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8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大模型与鉴权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未明确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按平台架构表述：交互推理层由讯飞星辰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Agent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承载，通过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10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个内置工具调用后端；统一鉴权列为第一阶段落地项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9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附录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C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配置口径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工具数写作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“14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个工具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、接口路径写作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rFonts w:ascii="Courier" w:hAnsi="Courier"/>
                <w:color w:val="1A1A1A"/>
                <w:sz w:val="18"/>
              </w:rPr>
              <w:t>/api/v1/...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、表数写作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张、并称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需新增附件参考规则读取端点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 xml:space="preserve">全部按新工程改写： </w:t>
            </w:r>
            <w:r>
              <w:rPr>
                <w:b/>
                <w:color w:val="1A1A1A"/>
                <w:sz w:val="18"/>
              </w:rPr>
              <w:t>11 个工具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（内置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10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个既有比较接口映射），接口路径为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rFonts w:ascii="Courier" w:hAnsi="Courier"/>
                <w:color w:val="1A1A1A"/>
                <w:sz w:val="18"/>
              </w:rPr>
              <w:t>/api/&lt;模块&gt;</w:t>
            </w:r>
            <w:r>
              <w:rPr>
                <w:color w:val="1A1A1A"/>
                <w:sz w:val="18"/>
              </w:rPr>
              <w:t xml:space="preserve"> （无 </w:t>
            </w:r>
            <w:r>
              <w:rPr>
                <w:rFonts w:ascii="Courier" w:hAnsi="Courier"/>
                <w:color w:val="1A1A1A"/>
                <w:sz w:val="18"/>
              </w:rPr>
              <w:t>/v1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），表数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个业务接口；双轨由同一接口的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rFonts w:ascii="Courier" w:hAnsi="Courier"/>
                <w:color w:val="1A1A1A"/>
                <w:sz w:val="18"/>
              </w:rPr>
              <w:t>system_recalculated</w:t>
            </w:r>
            <w:r>
              <w:rPr>
                <w:color w:val="1A1A1A"/>
                <w:sz w:val="18"/>
              </w:rPr>
              <w:t xml:space="preserve"> ／ </w:t>
            </w:r>
            <w:r>
              <w:rPr>
                <w:rFonts w:ascii="Courier" w:hAnsi="Courier"/>
                <w:color w:val="1A1A1A"/>
                <w:sz w:val="18"/>
              </w:rPr>
              <w:t>reference</w:t>
            </w:r>
            <w:r>
              <w:rPr>
                <w:color w:val="1A1A1A"/>
                <w:sz w:val="18"/>
              </w:rPr>
              <w:t xml:space="preserve"> 字段一并返回， </w:t>
            </w:r>
            <w:r>
              <w:rPr>
                <w:b/>
                <w:color w:val="1A1A1A"/>
                <w:sz w:val="18"/>
              </w:rPr>
              <w:t>不存在“需新增端点”的前置条件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；前置条件二改为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需补齐统一鉴权中间件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10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数据标注口径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未区分数据来源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 xml:space="preserve">全文统一三种口径： </w:t>
            </w:r>
            <w:r>
              <w:rPr>
                <w:b/>
                <w:color w:val="1A1A1A"/>
                <w:sz w:val="18"/>
              </w:rPr>
              <w:t>平台实测</w:t>
            </w:r>
            <w:r>
              <w:rPr>
                <w:color w:val="1A1A1A"/>
                <w:sz w:val="18"/>
              </w:rPr>
              <w:t xml:space="preserve"> （ </w:t>
            </w:r>
            <w:r>
              <w:rPr>
                <w:rFonts w:ascii="Courier" w:hAnsi="Courier"/>
                <w:color w:val="1A1A1A"/>
                <w:sz w:val="18"/>
              </w:rPr>
              <w:t>is_reference=false</w:t>
            </w:r>
            <w:r>
              <w:rPr>
                <w:color w:val="1A1A1A"/>
                <w:sz w:val="18"/>
              </w:rPr>
              <w:t xml:space="preserve"> ，亦称系统重算轨）、 </w:t>
            </w:r>
            <w:r>
              <w:rPr>
                <w:b/>
                <w:color w:val="1A1A1A"/>
                <w:sz w:val="18"/>
              </w:rPr>
              <w:t>附件参考</w:t>
            </w:r>
            <w:r>
              <w:rPr>
                <w:color w:val="1A1A1A"/>
                <w:sz w:val="18"/>
              </w:rPr>
              <w:t xml:space="preserve"> （ </w:t>
            </w:r>
            <w:r>
              <w:rPr>
                <w:rFonts w:ascii="Courier" w:hAnsi="Courier"/>
                <w:color w:val="1A1A1A"/>
                <w:sz w:val="18"/>
              </w:rPr>
              <w:t>is_reference=true</w:t>
            </w:r>
            <w:r>
              <w:rPr>
                <w:color w:val="1A1A1A"/>
                <w:sz w:val="18"/>
              </w:rPr>
              <w:t xml:space="preserve"> ）、 </w:t>
            </w:r>
            <w:r>
              <w:rPr>
                <w:b/>
                <w:color w:val="1A1A1A"/>
                <w:sz w:val="18"/>
              </w:rPr>
              <w:t>行业公开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；关键定量段落后附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数据来源：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……”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引注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11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行文体裁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含用于交底的工作性内容（修订说明、版本差异、缺陷修复过程）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全部改为场景分析报告正文体裁；工作性内容移出正文，仅保留在本说明中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12</w:t>
            </w:r>
          </w:p>
        </w:tc>
        <w:tc>
          <w:tcPr>
            <w:tcW w:type="pct" w:w="10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章节分工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第三章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理论框架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中混杂大量平台实现内容（表名、接口路径、页面路由、实测数值、测试断言引用），理论与实现界限不清</w:t>
            </w:r>
          </w:p>
        </w:tc>
        <w:tc>
          <w:tcPr>
            <w:tcW w:type="pct" w:w="185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b/>
                <w:color w:val="1A1A1A"/>
                <w:sz w:val="18"/>
              </w:rPr>
              <w:t>第三章剥离为纯理论章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：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3.1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五层框架表改为理论作用表述；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3.2.1—3.2.7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只保留理论内涵、设计原则与适用边界；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3.2.6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3.2.7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保留为理论条目但删去三层机制、接口与状态码等实现；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3.3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表的后两列改为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可介入的分析环节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数据前提与适用边界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。移出的实现内容并入第四章：新增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4.2.6 痛点覆盖与实现状态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（承接原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3.3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表的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平台功能模块与输出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实现状态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两列及三档分级判断），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4.2.5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补入三级审批模型的分级表</w:t>
            </w:r>
          </w:p>
        </w:tc>
      </w:tr>
    </w:tbl>
    <w:p>
      <w:bookmarkStart w:id="3" w:name="g3"/>
      <w:pPr>
        <w:pStyle w:val="Heading2"/>
      </w:pPr>
      <w:bookmarkEnd w:id="3"/>
      <w:r>
        <w:rPr>
          <w:color w:val="1F4E79"/>
          <w:sz w:val="27"/>
        </w:rPr>
        <w:t>三、联动修改清单（本文件未涉及，但合并时须同步修改）</w:t>
      </w:r>
    </w:p>
    <w:p>
      <w:pPr>
        <w:spacing w:line="420" w:lineRule="auto"/>
        <w:jc w:val="both"/>
      </w:pPr>
      <w:r>
        <w:rPr>
          <w:color w:val="1A1A1A"/>
          <w:sz w:val="21"/>
        </w:rPr>
        <w:t>以下各处位于第三至六章之外，若不同步修改，会与替换后的章节产生矛盾。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518"/>
        <w:gridCol w:w="2074"/>
        <w:gridCol w:w="6048"/>
      </w:tblGrid>
      <w:tr>
        <w:tc>
          <w:tcPr>
            <w:tcW w:type="pct" w:w="30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序</w:t>
            </w:r>
          </w:p>
        </w:tc>
        <w:tc>
          <w:tcPr>
            <w:tcW w:type="pct" w:w="120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位置</w:t>
            </w:r>
          </w:p>
        </w:tc>
        <w:tc>
          <w:tcPr>
            <w:tcW w:type="pct" w:w="3500"/>
            <w:shd w:fill="EEF3F8" w:val="clear" w:color="auto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5" w:after="45"/>
            </w:pPr>
            <w:r>
              <w:rPr>
                <w:b/>
                <w:color w:val="1F4E79"/>
                <w:sz w:val="18"/>
              </w:rPr>
              <w:t>须同步修改的内容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1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第一章／第二章若提及平台规模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凡出现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“21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张数据表、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47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个接口路径、单文件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HTML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前端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等旧表述之处，统一改为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“20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张数据表、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个业务接口、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React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单页应用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12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个页面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2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第五章之外引用了健康度数值之处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凡引用健康度分数之处，统一替换为新工程实测值，并标注轨别（重算轨／参考轨）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3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摘要／关键词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若摘要中提及预测精度或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MAPE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，须删除或改为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报告趋势方向而非精度指标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；关键词建议补入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场景分析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数据可追溯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等与本稿新增内容相关的词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4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图表清单与图注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第三章仅余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3.1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表与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3.3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表（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3.2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节各表已按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以文字叙述代替表格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改写；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3.3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表已改为纯理论映射，不再含实现状态）；第四章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4.1.1—4.5.5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各表，其中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b/>
                <w:color w:val="1A1A1A"/>
                <w:sz w:val="18"/>
              </w:rPr>
              <w:t>4.2.5 三级审批模型表与 4.2.6 痛点覆盖表为新增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；第五章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5.1.1—5.5.5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各表均已重编，须核对全文表号与交叉引用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5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附件清单与前置说明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本稿正文前新增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数据性质与来源说明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一节，附录新增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附录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C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讯飞星辰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Agent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平台配置方案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，两者均须在附件清单与前置部分登记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6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附录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A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／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B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（如含数据集说明）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须与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5.1.1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的数据集清单一致：交易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5000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笔、明细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24893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条、品类销售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84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条、需求历史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60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条；并说明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rFonts w:ascii="Courier" w:hAnsi="Courier"/>
                <w:color w:val="1A1A1A"/>
                <w:sz w:val="18"/>
              </w:rPr>
              <w:t>sku_products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等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5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张表为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0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行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7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作品说明中的技术栈描述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统一为：后端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FastAPI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SQLAlchemy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SQLite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，前端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React 18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TypeScript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Vite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Tailwind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＋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ECharts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；算法为纯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Python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实现，不依赖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mlxtend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8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数据声明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凡出现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苏果真实经营数据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之处，一律改为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“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基于公开行业数据构造的模拟演示数据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”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9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致谢／声明中的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AI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使用说明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须如实填写本次工作使用了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AI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辅助工具（含代码缺陷定位、文档撰写与格式转换），并说明所有算法输出均由本地实测复核</w:t>
            </w:r>
          </w:p>
        </w:tc>
      </w:tr>
      <w:tr>
        <w:tc>
          <w:tcPr>
            <w:tcW w:type="pct" w:w="3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10</w:t>
            </w:r>
          </w:p>
        </w:tc>
        <w:tc>
          <w:tcPr>
            <w:tcW w:type="pct" w:w="12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参考文献</w:t>
            </w:r>
          </w:p>
        </w:tc>
        <w:tc>
          <w:tcPr>
            <w:tcW w:type="pct" w:w="3500"/>
            <w:vAlign w:val="center"/>
            <w:tcBorders>
              <w:top w:val="single" w:sz="6" w:space="0" w:color="B9C7D6"/>
              <w:bottom w:val="single" w:sz="6" w:space="0" w:color="B9C7D6"/>
              <w:left w:val="single" w:sz="6" w:space="0" w:color="B9C7D6"/>
              <w:right w:val="single" w:sz="6" w:space="0" w:color="B9C7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9" w:after="49"/>
            </w:pPr>
            <w:r>
              <w:rPr>
                <w:color w:val="1A1A1A"/>
                <w:sz w:val="18"/>
              </w:rPr>
              <w:t>本稿新增引用：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Min-Max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标准化、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Apriori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算法、讯飞星辰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Agent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平台；已删除对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 xml:space="preserve"> UCI </w:t>
            </w:r>
            <w:r>
              <w:rPr>
                <w:color w:val="1A1A1A"/>
                <w:sz w:val="18"/>
              </w:rPr>
              <w:t xml:space="preserve"> </w:t>
            </w:r>
            <w:r>
              <w:rPr>
                <w:color w:val="1A1A1A"/>
                <w:sz w:val="18"/>
              </w:rPr>
              <w:t>数据集预测精度的引用</w:t>
            </w:r>
          </w:p>
        </w:tc>
      </w:tr>
    </w:tbl>
    <w:p>
      <w:bookmarkStart w:id="4" w:name="g4"/>
      <w:pPr>
        <w:pStyle w:val="Heading2"/>
      </w:pPr>
      <w:bookmarkEnd w:id="4"/>
      <w:r>
        <w:rPr>
          <w:color w:val="1F4E79"/>
          <w:sz w:val="27"/>
        </w:rPr>
        <w:t>四、合并时的五点提醒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第一，务必核对“数据不足”相关的表述是否被其他章节弱化。</w:t>
      </w:r>
      <w:r>
        <w:rPr>
          <w:color w:val="1A1A1A"/>
          <w:sz w:val="21"/>
        </w:rPr>
        <w:t>本稿在</w:t>
      </w:r>
      <w:r>
        <w:rPr>
          <w:color w:val="1A1A1A"/>
          <w:sz w:val="21"/>
        </w:rPr>
        <w:t xml:space="preserve"> 3.2.6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>4.2.4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>4.4.5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 xml:space="preserve">5.5.3 </w:t>
      </w:r>
      <w:r>
        <w:rPr>
          <w:color w:val="1A1A1A"/>
          <w:sz w:val="21"/>
        </w:rPr>
        <w:t>四处反复强调平台的数据边界（</w:t>
      </w:r>
      <w:r>
        <w:rPr>
          <w:color w:val="1A1A1A"/>
          <w:sz w:val="21"/>
        </w:rPr>
        <w:t xml:space="preserve">SKU </w:t>
      </w:r>
      <w:r>
        <w:rPr>
          <w:color w:val="1A1A1A"/>
          <w:sz w:val="21"/>
        </w:rPr>
        <w:t>级数据为</w:t>
      </w:r>
      <w:r>
        <w:rPr>
          <w:color w:val="1A1A1A"/>
          <w:sz w:val="21"/>
        </w:rPr>
        <w:t xml:space="preserve"> 0</w:t>
      </w:r>
      <w:r>
        <w:rPr>
          <w:color w:val="1A1A1A"/>
          <w:sz w:val="21"/>
        </w:rPr>
        <w:t>、会员数据缺失、自有品牌对照数据缺失）。若报告的其他章节使用了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全面覆盖</w:t>
      </w:r>
      <w:r>
        <w:rPr>
          <w:color w:val="1A1A1A"/>
          <w:sz w:val="21"/>
        </w:rPr>
        <w:t>”“</w:t>
      </w:r>
      <w:r>
        <w:rPr>
          <w:color w:val="1A1A1A"/>
          <w:sz w:val="21"/>
        </w:rPr>
        <w:t>精准预测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这类表述，会与本章产生直接矛盾，必须一并修正。这一组表述是本稿最需要保护的严谨性。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第二，5.3.3 的评分口径校准过程建议保留，不要删减。</w:t>
      </w:r>
      <w:r>
        <w:rPr>
          <w:color w:val="1A1A1A"/>
          <w:sz w:val="21"/>
        </w:rPr>
        <w:t>该节完整记录了健康度算法早期实现中</w:t>
      </w:r>
      <w:r>
        <w:rPr>
          <w:color w:val="1A1A1A"/>
          <w:sz w:val="21"/>
        </w:rPr>
        <w:t xml:space="preserve"> 240—938 </w:t>
      </w:r>
      <w:r>
        <w:rPr>
          <w:color w:val="1A1A1A"/>
          <w:sz w:val="21"/>
        </w:rPr>
        <w:t>分越界、</w:t>
      </w:r>
      <w:r>
        <w:rPr>
          <w:color w:val="1A1A1A"/>
          <w:sz w:val="21"/>
        </w:rPr>
        <w:t xml:space="preserve">7 </w:t>
      </w:r>
      <w:r>
        <w:rPr>
          <w:color w:val="1A1A1A"/>
          <w:sz w:val="21"/>
        </w:rPr>
        <w:t>品类全五星、子分出现负值的问题，以及根因（</w:t>
      </w:r>
      <w:r>
        <w:rPr>
          <w:color w:val="1A1A1A"/>
          <w:sz w:val="21"/>
        </w:rPr>
        <w:t xml:space="preserve">Min-Max </w:t>
      </w:r>
      <w:r>
        <w:rPr>
          <w:color w:val="1A1A1A"/>
          <w:sz w:val="21"/>
        </w:rPr>
        <w:t>分子分母口径不一致）与修复方案。删掉它会让第五章变成一份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一次就写对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的报告，反而降低可信度；保留它则同时展示三件事：研究过程具备复现与核查能力、有测试体系、有如实披露的态度。我们判断这在评审中属于加分项而非减分项。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第三，全部数值已本地实测复核，但请勿改动其中任何一个数字。</w:t>
      </w:r>
      <w:r>
        <w:rPr>
          <w:color w:val="1A1A1A"/>
          <w:sz w:val="21"/>
        </w:rPr>
        <w:t>本稿第三至六章出现的每一个具体数值</w:t>
      </w:r>
      <w:r>
        <w:rPr>
          <w:color w:val="1A1A1A"/>
          <w:sz w:val="21"/>
        </w:rPr>
        <w:t>——</w:t>
      </w:r>
      <w:r>
        <w:rPr>
          <w:color w:val="1A1A1A"/>
          <w:sz w:val="21"/>
        </w:rPr>
        <w:t>包括健康度子分、关联规则的支持度／置信度／提升度、预测值、环比变化率、表行数、代码行数</w:t>
      </w:r>
      <w:r>
        <w:rPr>
          <w:color w:val="1A1A1A"/>
          <w:sz w:val="21"/>
        </w:rPr>
        <w:t>——</w:t>
      </w:r>
      <w:r>
        <w:rPr>
          <w:color w:val="1A1A1A"/>
          <w:sz w:val="21"/>
        </w:rPr>
        <w:t>均取自平台</w:t>
      </w:r>
      <w:r>
        <w:rPr>
          <w:color w:val="1A1A1A"/>
          <w:sz w:val="21"/>
        </w:rPr>
        <w:t xml:space="preserve"> SQLite </w:t>
      </w:r>
      <w:r>
        <w:rPr>
          <w:color w:val="1A1A1A"/>
          <w:sz w:val="21"/>
        </w:rPr>
        <w:t>演示库的实读结果或后端算法函数的实算输出，并已逐项复核。原始数据包与复核脚本随交付件一并提供。若因排版调整而误改某个数字，将破坏全文的数一致性；如需更新数据，应重新执行</w:t>
      </w:r>
      <w:r>
        <w:rPr>
          <w:color w:val="1A1A1A"/>
          <w:sz w:val="21"/>
        </w:rPr>
        <w:t xml:space="preserve"> </w:t>
      </w:r>
      <w:r>
        <w:rPr>
          <w:rFonts w:ascii="Courier" w:hAnsi="Courier"/>
          <w:color w:val="1A1A1A"/>
          <w:sz w:val="21"/>
        </w:rPr>
        <w:t>POST /api/categories/recalculate</w:t>
      </w:r>
      <w:r>
        <w:rPr>
          <w:color w:val="1A1A1A"/>
          <w:sz w:val="21"/>
        </w:rPr>
        <w:t>、</w:t>
      </w:r>
      <w:r>
        <w:rPr>
          <w:rFonts w:ascii="Courier" w:hAnsi="Courier"/>
          <w:color w:val="1A1A1A"/>
          <w:sz w:val="21"/>
        </w:rPr>
        <w:t>POST /api/association-rules/recalculate</w:t>
      </w:r>
      <w:r>
        <w:rPr>
          <w:color w:val="1A1A1A"/>
          <w:sz w:val="21"/>
        </w:rPr>
        <w:t>、</w:t>
      </w:r>
      <w:r>
        <w:rPr>
          <w:rFonts w:ascii="Courier" w:hAnsi="Courier"/>
          <w:color w:val="1A1A1A"/>
          <w:sz w:val="21"/>
        </w:rPr>
        <w:t>POST /api/forecast/run</w:t>
      </w:r>
      <w:r>
        <w:rPr>
          <w:color w:val="1A1A1A"/>
          <w:sz w:val="21"/>
        </w:rPr>
        <w:t xml:space="preserve"> 三个接口后整体替换，而非手工修改。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第四，本稿在体裁上是“场景分析报告”正文，请勿在合并时引入版本比较或开发过程叙述。</w:t>
      </w:r>
      <w:r>
        <w:rPr>
          <w:color w:val="1A1A1A"/>
          <w:sz w:val="21"/>
        </w:rPr>
        <w:t>本稿已清除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与前一版相比</w:t>
      </w:r>
      <w:r>
        <w:rPr>
          <w:color w:val="1A1A1A"/>
          <w:sz w:val="21"/>
        </w:rPr>
        <w:t>”“</w:t>
      </w:r>
      <w:r>
        <w:rPr>
          <w:color w:val="1A1A1A"/>
          <w:sz w:val="21"/>
        </w:rPr>
        <w:t>本次修订</w:t>
      </w:r>
      <w:r>
        <w:rPr>
          <w:color w:val="1A1A1A"/>
          <w:sz w:val="21"/>
        </w:rPr>
        <w:t>”“</w:t>
      </w:r>
      <w:r>
        <w:rPr>
          <w:color w:val="1A1A1A"/>
          <w:sz w:val="21"/>
        </w:rPr>
        <w:t>本轮新增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等表述，并在关键定量段落后补入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数据来源：</w:t>
      </w:r>
      <w:r>
        <w:rPr>
          <w:color w:val="1A1A1A"/>
          <w:sz w:val="21"/>
        </w:rPr>
        <w:t>……”</w:t>
      </w:r>
      <w:r>
        <w:rPr>
          <w:color w:val="1A1A1A"/>
          <w:sz w:val="21"/>
        </w:rPr>
        <w:t>引注。若在合并过程中重新加入此类内容，会与全稿体裁不一致。所有工作性说明均集中在本附录，合并时应整体移除。</w:t>
      </w:r>
    </w:p>
    <w:p>
      <w:pPr>
        <w:spacing w:line="420" w:lineRule="auto"/>
        <w:jc w:val="both"/>
      </w:pPr>
      <w:r>
        <w:rPr>
          <w:b/>
          <w:color w:val="1A1A1A"/>
          <w:sz w:val="21"/>
        </w:rPr>
        <w:t>第五，第三章与第四章的分工已重划，合并时不要回填实现内容。</w:t>
      </w:r>
      <w:r>
        <w:rPr>
          <w:color w:val="1A1A1A"/>
          <w:sz w:val="21"/>
        </w:rPr>
        <w:t>本稿第三章为纯理论章，只讲框架、理论内涵与设计原则，不出现接口路径、页面路由、数据表行数与实测数值；相关内容全部落在第四章（设计与实现）与第五章（实证）。第五章的</w:t>
      </w:r>
      <w:r>
        <w:rPr>
          <w:color w:val="1A1A1A"/>
          <w:sz w:val="21"/>
        </w:rPr>
        <w:t xml:space="preserve"> 5.1.1</w:t>
      </w:r>
      <w:r>
        <w:rPr>
          <w:color w:val="1A1A1A"/>
          <w:sz w:val="21"/>
        </w:rPr>
        <w:t>、</w:t>
      </w:r>
      <w:r>
        <w:rPr>
          <w:color w:val="1A1A1A"/>
          <w:sz w:val="21"/>
        </w:rPr>
        <w:t xml:space="preserve">5.4.1 </w:t>
      </w:r>
      <w:r>
        <w:rPr>
          <w:color w:val="1A1A1A"/>
          <w:sz w:val="21"/>
        </w:rPr>
        <w:t>仍会引用</w:t>
      </w:r>
      <w:r>
        <w:rPr>
          <w:color w:val="1A1A1A"/>
          <w:sz w:val="21"/>
        </w:rPr>
        <w:t xml:space="preserve"> 3.2.6 </w:t>
      </w:r>
      <w:r>
        <w:rPr>
          <w:color w:val="1A1A1A"/>
          <w:sz w:val="21"/>
        </w:rPr>
        <w:t>的原则，这类引用指向的是原则本身而非实现，属正常引用。若在合并时按旧稿口径把实现细节补回第三章，会重新造成</w:t>
      </w:r>
      <w:r>
        <w:rPr>
          <w:color w:val="1A1A1A"/>
          <w:sz w:val="21"/>
        </w:rPr>
        <w:t>“</w:t>
      </w:r>
      <w:r>
        <w:rPr>
          <w:color w:val="1A1A1A"/>
          <w:sz w:val="21"/>
        </w:rPr>
        <w:t>理论章里讲实现</w:t>
      </w:r>
      <w:r>
        <w:rPr>
          <w:color w:val="1A1A1A"/>
          <w:sz w:val="21"/>
        </w:rPr>
        <w:t>”</w:t>
      </w:r>
      <w:r>
        <w:rPr>
          <w:color w:val="1A1A1A"/>
          <w:sz w:val="21"/>
        </w:rPr>
        <w:t>的断裂。</w:t>
      </w:r>
      <w:r/>
      <w:r/>
      <w:r/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156" w:val="center"/>
        <w:tab w:pos="8312" w:val="right"/>
      </w:tabs>
    </w:pPr>
    <w:r>
      <w:tab/>
    </w:r>
    <w:r>
      <w:tab/>
    </w:r>
    <w:r>
      <w:fldChar w:fldCharType="begin"/>
    </w:r>
    <w:r>
      <w:instrText xml:space="preserve"> STYLEREF Heading1 \* MERGEFORMAT </w:instrTex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 w:before="60" w:after="120"/>
      <w:jc w:val="both"/>
    </w:pPr>
    <w:rPr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40"/>
      <w:outlineLvl w:val="0"/>
    </w:pPr>
    <w:rPr>
      <w:rFonts w:asciiTheme="majorHAnsi" w:eastAsiaTheme="majorEastAsia" w:hAnsiTheme="majorHAnsi" w:cstheme="majorBidi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/>
      <w:b/>
      <w:bCs/>
      <w:i/>
      <w:iCs/>
      <w:color w:val="2C3E50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