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420" w:lineRule="auto" w:before="3000" w:after="120"/>
        <w:jc w:val="center"/>
      </w:pPr>
      <w:r>
        <w:rPr>
          <w:color w:val="1F4E79"/>
          <w:sz w:val="48"/>
        </w:rPr>
        <w:t>第三至六章改写稿</w:t>
      </w:r>
    </w:p>
    <w:p>
      <w:pPr>
        <w:spacing w:line="420" w:lineRule="auto" w:after="60"/>
        <w:jc w:val="center"/>
      </w:pPr>
      <w:r>
        <w:rPr>
          <w:color w:val="2C3E50"/>
          <w:sz w:val="26"/>
        </w:rPr>
        <w:t>使用说明与联动修改清单</w:t>
      </w:r>
    </w:p>
    <w:p>
      <w:pPr>
        <w:spacing w:line="420" w:lineRule="auto"/>
        <w:jc w:val="center"/>
      </w:pPr>
      <w:r>
        <w:rPr>
          <w:color w:val="6A6A6A"/>
          <w:sz w:val="19"/>
        </w:rPr>
        <w:t>供把改写稿合并回原《</w:t>
      </w:r>
      <w:r>
        <w:rPr>
          <w:color w:val="6A6A6A"/>
          <w:sz w:val="19"/>
        </w:rPr>
        <w:t>AI</w:t>
      </w:r>
      <w:r>
        <w:rPr>
          <w:color w:val="6A6A6A"/>
          <w:sz w:val="19"/>
        </w:rPr>
        <w:t>超市选品</w:t>
      </w:r>
      <w:r>
        <w:rPr>
          <w:color w:val="6A6A6A"/>
          <w:sz w:val="19"/>
        </w:rPr>
        <w:t>_</w:t>
      </w:r>
      <w:r>
        <w:rPr>
          <w:color w:val="6A6A6A"/>
          <w:sz w:val="19"/>
        </w:rPr>
        <w:t>场景分析报告</w:t>
      </w:r>
      <w:r>
        <w:rPr>
          <w:color w:val="6A6A6A"/>
          <w:sz w:val="19"/>
        </w:rPr>
        <w:t>.docx</w:t>
      </w:r>
      <w:r>
        <w:rPr>
          <w:color w:val="6A6A6A"/>
          <w:sz w:val="19"/>
        </w:rPr>
        <w:t>》时使用</w:t>
      </w:r>
    </w:p>
    <w:p>
      <w:pPr>
        <w:spacing w:line="420" w:lineRule="auto"/>
        <w:jc w:val="center"/>
      </w:pPr>
      <w:r>
        <w:rPr>
          <w:color w:val="6A6A6A"/>
          <w:sz w:val="19"/>
        </w:rPr>
        <w:t>2026</w:t>
      </w:r>
      <w:r>
        <w:rPr>
          <w:color w:val="6A6A6A"/>
          <w:sz w:val="19"/>
        </w:rPr>
        <w:t>年江苏省研究生</w:t>
      </w:r>
      <w:r>
        <w:rPr>
          <w:color w:val="6A6A6A"/>
          <w:sz w:val="19"/>
        </w:rPr>
        <w:t>“</w:t>
      </w:r>
      <w:r>
        <w:rPr>
          <w:color w:val="6A6A6A"/>
          <w:sz w:val="19"/>
        </w:rPr>
        <w:t>人工智能赋能企业管理场景应用设计</w:t>
      </w:r>
      <w:r>
        <w:rPr>
          <w:color w:val="6A6A6A"/>
          <w:sz w:val="19"/>
        </w:rPr>
        <w:t>”</w:t>
      </w:r>
      <w:r>
        <w:rPr>
          <w:color w:val="6A6A6A"/>
          <w:sz w:val="19"/>
        </w:rPr>
        <w:t>大赛</w:t>
      </w:r>
      <w:r/>
    </w:p>
    <w:p>
      <w:pPr>
        <w:sectPr>
          <w:type w:val="nextPage"/>
          <w:pgSz w:w="11906" w:h="16838"/>
          <w:pgMar w:top="1440" w:bottom="1440" w:left="1797" w:right="1797"/>
        </w:sectPr>
      </w:pPr>
    </w:p>
    <w:p>
      <w:bookmarkStart w:id="0" w:name="cx"/>
      <w:pPr>
        <w:pStyle w:val="Heading1"/>
      </w:pPr>
      <w:bookmarkEnd w:id="0"/>
      <w:r>
        <w:rPr>
          <w:color w:val="1F4E79"/>
          <w:sz w:val="34"/>
        </w:rPr>
        <w:t>第三至六章改写稿　使用说明与联动修改清单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0F5FA"/>
            <w:tcBorders>
              <w:left w:val="single" w:sz="24" w:space="0" w:color="01579B"/>
            </w:tcBorders>
          </w:tcPr>
          <w:p>
            <w:r>
              <w:rPr>
                <w:b/>
              </w:rPr>
              <w:t>本附录不属于报告正文，不作为报告内容提交。</w:t>
            </w:r>
            <w:r>
              <w:t>它仅用于说明本改写稿的使用方式与合并注意事项，供作者在将本稿并入完整报告时参照。正式提交时请删除本附录。</w:t>
            </w:r>
          </w:p>
        </w:tc>
      </w:tr>
    </w:tbl>
    <w:p>
      <w:bookmarkStart w:id="1" w:name="sy1"/>
      <w:pPr>
        <w:pStyle w:val="Heading2"/>
      </w:pPr>
      <w:bookmarkEnd w:id="1"/>
      <w:r>
        <w:rPr>
          <w:color w:val="1F4E79"/>
          <w:sz w:val="27"/>
        </w:rPr>
        <w:t>一、本文件的性质与范围</w:t>
      </w:r>
    </w:p>
    <w:p>
      <w:pPr>
        <w:spacing w:line="420" w:lineRule="auto"/>
        <w:jc w:val="both"/>
      </w:pPr>
      <w:r>
        <w:rPr>
          <w:color w:val="1A1A1A"/>
          <w:sz w:val="21"/>
        </w:rPr>
        <w:t>本文件包含《</w:t>
      </w:r>
      <w:r>
        <w:rPr>
          <w:color w:val="1A1A1A"/>
          <w:sz w:val="21"/>
        </w:rPr>
        <w:t xml:space="preserve">AI </w:t>
      </w:r>
      <w:r>
        <w:rPr>
          <w:color w:val="1A1A1A"/>
          <w:sz w:val="21"/>
        </w:rPr>
        <w:t>驱动的社区商超智能选品与品类优化研究</w:t>
      </w:r>
      <w:r>
        <w:rPr>
          <w:color w:val="1A1A1A"/>
          <w:sz w:val="21"/>
        </w:rPr>
        <w:t>——</w:t>
      </w:r>
      <w:r>
        <w:rPr>
          <w:color w:val="1A1A1A"/>
          <w:sz w:val="21"/>
        </w:rPr>
        <w:t>以华润苏果（南京江宁黄金海岸广场店）为例》</w:t>
      </w:r>
      <w:r>
        <w:rPr>
          <w:b/>
          <w:color w:val="1A1A1A"/>
          <w:sz w:val="21"/>
        </w:rPr>
        <w:t>第三、四、五、六章</w:t>
      </w:r>
      <w:r>
        <w:rPr>
          <w:color w:val="1A1A1A"/>
          <w:sz w:val="21"/>
        </w:rPr>
        <w:t>的改写稿。改写遵循两条约束：沿用原报告的章节框架（第三至六章的二级结构不变，仅在二级结构内按实际实现情况增补三级条目）；以已实际建成并跑通全部自动化验证的</w:t>
      </w:r>
      <w:r>
        <w:rPr>
          <w:color w:val="1A1A1A"/>
          <w:sz w:val="21"/>
        </w:rPr>
        <w:t>“</w:t>
      </w:r>
      <w:r>
        <w:rPr>
          <w:color w:val="1A1A1A"/>
          <w:sz w:val="21"/>
        </w:rPr>
        <w:t>苏果智选</w:t>
      </w:r>
      <w:r>
        <w:rPr>
          <w:color w:val="1A1A1A"/>
          <w:sz w:val="21"/>
        </w:rPr>
        <w:t>”</w:t>
      </w:r>
      <w:r>
        <w:rPr>
          <w:color w:val="1A1A1A"/>
          <w:sz w:val="21"/>
        </w:rPr>
        <w:t>平台为准，把原稿中属于</w:t>
      </w:r>
      <w:r>
        <w:rPr>
          <w:color w:val="1A1A1A"/>
          <w:sz w:val="21"/>
        </w:rPr>
        <w:t>“</w:t>
      </w:r>
      <w:r>
        <w:rPr>
          <w:color w:val="1A1A1A"/>
          <w:sz w:val="21"/>
        </w:rPr>
        <w:t>技术方案设想</w:t>
      </w:r>
      <w:r>
        <w:rPr>
          <w:color w:val="1A1A1A"/>
          <w:sz w:val="21"/>
        </w:rPr>
        <w:t>”</w:t>
      </w:r>
      <w:r>
        <w:rPr>
          <w:color w:val="1A1A1A"/>
          <w:sz w:val="21"/>
        </w:rPr>
        <w:t>的表述替换为可复算、可复核的工程事实。</w:t>
      </w:r>
    </w:p>
    <w:p>
      <w:pPr>
        <w:spacing w:line="420" w:lineRule="auto"/>
        <w:jc w:val="both"/>
      </w:pPr>
      <w:r>
        <w:rPr>
          <w:color w:val="1A1A1A"/>
          <w:sz w:val="21"/>
        </w:rPr>
        <w:t>因此，本文件</w:t>
      </w:r>
      <w:r>
        <w:rPr>
          <w:b/>
          <w:color w:val="1A1A1A"/>
          <w:sz w:val="21"/>
        </w:rPr>
        <w:t>不是</w:t>
      </w:r>
      <w:r>
        <w:rPr>
          <w:color w:val="1A1A1A"/>
          <w:sz w:val="21"/>
        </w:rPr>
        <w:t>一份替换全部报告的完整稿，而是需要与原报告的第一、二、七、八章及附录合并使用的局部改写稿。</w:t>
      </w:r>
    </w:p>
    <w:p>
      <w:bookmarkStart w:id="2" w:name="sy2"/>
      <w:pPr>
        <w:pStyle w:val="Heading2"/>
      </w:pPr>
      <w:bookmarkEnd w:id="2"/>
      <w:r>
        <w:rPr>
          <w:color w:val="1F4E79"/>
          <w:sz w:val="27"/>
        </w:rPr>
        <w:t>二、与原文相比的主要改动（按重要性排序）</w:t>
      </w:r>
    </w:p>
    <w:tbl>
      <w:tblPr>
        <w:tblW w:type="pct" w:w="5000"/>
        <w:tblLayout w:type="autofit"/>
        <w:tblLook w:firstColumn="1" w:firstRow="1" w:lastColumn="0" w:lastRow="0" w:noHBand="0" w:noVBand="1" w:val="04A0"/>
      </w:tblPr>
      <w:tblGrid>
        <w:gridCol w:w="518"/>
        <w:gridCol w:w="2246"/>
        <w:gridCol w:w="2938"/>
        <w:gridCol w:w="2938"/>
      </w:tblGrid>
      <w:tr>
        <w:tc>
          <w:tcPr>
            <w:tcW w:type="pct" w:w="300"/>
            <w:shd w:fill="EEF3F8" w:val="clear" w:color="auto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b/>
                <w:color w:val="1F4E79"/>
                <w:sz w:val="18"/>
              </w:rPr>
              <w:t>序</w:t>
            </w:r>
          </w:p>
        </w:tc>
        <w:tc>
          <w:tcPr>
            <w:tcW w:type="pct" w:w="1300"/>
            <w:shd w:fill="EEF3F8" w:val="clear" w:color="auto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b/>
                <w:color w:val="1F4E79"/>
                <w:sz w:val="18"/>
              </w:rPr>
              <w:t>改动点</w:t>
            </w:r>
          </w:p>
        </w:tc>
        <w:tc>
          <w:tcPr>
            <w:tcW w:type="pct" w:w="1700"/>
            <w:shd w:fill="EEF3F8" w:val="clear" w:color="auto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b/>
                <w:color w:val="1F4E79"/>
                <w:sz w:val="18"/>
              </w:rPr>
              <w:t>原文表述</w:t>
            </w:r>
          </w:p>
        </w:tc>
        <w:tc>
          <w:tcPr>
            <w:tcW w:type="pct" w:w="1700"/>
            <w:shd w:fill="EEF3F8" w:val="clear" w:color="auto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b/>
                <w:color w:val="1F4E79"/>
                <w:sz w:val="18"/>
              </w:rPr>
              <w:t>改后表述</w:t>
            </w:r>
          </w:p>
        </w:tc>
      </w:tr>
      <w:tr>
        <w:tc>
          <w:tcPr>
            <w:tcW w:type="pct" w:w="3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1</w:t>
            </w:r>
          </w:p>
        </w:tc>
        <w:tc>
          <w:tcPr>
            <w:tcW w:type="pct" w:w="13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b/>
                <w:color w:val="1A1A1A"/>
                <w:sz w:val="18"/>
              </w:rPr>
              <w:t>架构：单轨→双轨</w:t>
            </w:r>
          </w:p>
        </w:tc>
        <w:tc>
          <w:tcPr>
            <w:tcW w:type="pct" w:w="17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三层架构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“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算法计算在本地、知识推理在云端、人机交互在平台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”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，实际指本地跑完算法后上传结果到讯飞星辰</w:t>
            </w:r>
          </w:p>
        </w:tc>
        <w:tc>
          <w:tcPr>
            <w:tcW w:type="pct" w:w="17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双轨并行、契约连接：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“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交互与推理轨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”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（讯飞星辰）＋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“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计算与数据轨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”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（自研平台，含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21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张表、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47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个接口路径、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12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个页面）。两轨通过结构化数据契约连接</w:t>
            </w:r>
          </w:p>
        </w:tc>
      </w:tr>
      <w:tr>
        <w:tc>
          <w:tcPr>
            <w:tcW w:type="pct" w:w="3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2</w:t>
            </w:r>
          </w:p>
        </w:tc>
        <w:tc>
          <w:tcPr>
            <w:tcW w:type="pct" w:w="13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b/>
                <w:color w:val="1A1A1A"/>
                <w:sz w:val="18"/>
              </w:rPr>
              <w:t>需求预测：去除未验证的精度数字</w:t>
            </w:r>
          </w:p>
        </w:tc>
        <w:tc>
          <w:tcPr>
            <w:tcW w:type="pct" w:w="17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 xml:space="preserve">“MAPE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约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12%—18%”“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使用苏果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2—3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年历史数据，精度可提升至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MAPE 8%—12%”</w:t>
            </w:r>
          </w:p>
        </w:tc>
        <w:tc>
          <w:tcPr>
            <w:tcW w:type="pct" w:w="17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b/>
                <w:color w:val="1A1A1A"/>
                <w:sz w:val="18"/>
              </w:rPr>
              <w:t>不再报告任何预测精度指标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。说明当前实现为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“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序列结构解析＋环比趋势判定＋五级分级＋风险联动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”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，不含模型拟合与外推，故不具备计算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MAPE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的前提；同时说明为何报告未验证的精度数字风险更大（见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5.4.3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）</w:t>
            </w:r>
          </w:p>
        </w:tc>
      </w:tr>
      <w:tr>
        <w:tc>
          <w:tcPr>
            <w:tcW w:type="pct" w:w="3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3</w:t>
            </w:r>
          </w:p>
        </w:tc>
        <w:tc>
          <w:tcPr>
            <w:tcW w:type="pct" w:w="13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b/>
                <w:color w:val="1A1A1A"/>
                <w:sz w:val="18"/>
              </w:rPr>
              <w:t>实证数据：UCI 英文礼品数据→自建中文商超演示数据</w:t>
            </w:r>
          </w:p>
        </w:tc>
        <w:tc>
          <w:tcPr>
            <w:tcW w:type="pct" w:w="17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 xml:space="preserve">5.2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节规则表为英文礼品类商品（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REGENCY CAKESTAND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、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WHITE HANGING HEART T-LIGHT HOLDER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等）</w:t>
            </w:r>
          </w:p>
        </w:tc>
        <w:tc>
          <w:tcPr>
            <w:tcW w:type="pct" w:w="17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改为平台在中文商超演示数据上的实测结果（薯片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→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可乐、胡萝卜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→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排骨等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30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条规则），并新增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“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双轨对照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”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与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“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提升度绝对值不宜直接用作业务预期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”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的谨慎结论（见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5.2.4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）</w:t>
            </w:r>
          </w:p>
        </w:tc>
      </w:tr>
      <w:tr>
        <w:tc>
          <w:tcPr>
            <w:tcW w:type="pct" w:w="3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4</w:t>
            </w:r>
          </w:p>
        </w:tc>
        <w:tc>
          <w:tcPr>
            <w:tcW w:type="pct" w:w="13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b/>
                <w:color w:val="1A1A1A"/>
                <w:sz w:val="18"/>
              </w:rPr>
              <w:t>购物篮口径：新增“一名多码”发现</w:t>
            </w:r>
          </w:p>
        </w:tc>
        <w:tc>
          <w:tcPr>
            <w:tcW w:type="pct" w:w="17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未涉及</w:t>
            </w:r>
          </w:p>
        </w:tc>
        <w:tc>
          <w:tcPr>
            <w:tcW w:type="pct" w:w="17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新增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5.2.2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节：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70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个商品名称对应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19,557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个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SKU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编码，据此把购物篮聚合口径定为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“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交易号＋商品名称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”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，并说明该问题在真实商超中的普遍性与实务意义</w:t>
            </w:r>
          </w:p>
        </w:tc>
      </w:tr>
      <w:tr>
        <w:tc>
          <w:tcPr>
            <w:tcW w:type="pct" w:w="3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5</w:t>
            </w:r>
          </w:p>
        </w:tc>
        <w:tc>
          <w:tcPr>
            <w:tcW w:type="pct" w:w="13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b/>
                <w:color w:val="1A1A1A"/>
                <w:sz w:val="18"/>
              </w:rPr>
              <w:t>算法说明：补充三项关键修正</w:t>
            </w:r>
          </w:p>
        </w:tc>
        <w:tc>
          <w:tcPr>
            <w:tcW w:type="pct" w:w="17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仅说明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“Min-Max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归一化到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0—100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分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”</w:t>
            </w:r>
          </w:p>
        </w:tc>
        <w:tc>
          <w:tcPr>
            <w:tcW w:type="pct" w:w="17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补充：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5%—95%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分位边界收敛、周转天数逆向标准化、相对标准化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60%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＋行业基准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40%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混合（见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4.5.2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）；并新增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“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分数是相对位置而非绝对水平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”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的解读提示</w:t>
            </w:r>
          </w:p>
        </w:tc>
      </w:tr>
      <w:tr>
        <w:tc>
          <w:tcPr>
            <w:tcW w:type="pct" w:w="3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6</w:t>
            </w:r>
          </w:p>
        </w:tc>
        <w:tc>
          <w:tcPr>
            <w:tcW w:type="pct" w:w="13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b/>
                <w:color w:val="1A1A1A"/>
                <w:sz w:val="18"/>
              </w:rPr>
              <w:t>新增工程验证证据</w:t>
            </w:r>
          </w:p>
        </w:tc>
        <w:tc>
          <w:tcPr>
            <w:tcW w:type="pct" w:w="17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未涉及</w:t>
            </w:r>
          </w:p>
        </w:tc>
        <w:tc>
          <w:tcPr>
            <w:tcW w:type="pct" w:w="17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新增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4.3.5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（前后端双实现逐位一致）与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5.5.1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（五层验证体系，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186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项断言＋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11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项接口测试全部通过）</w:t>
            </w:r>
          </w:p>
        </w:tc>
      </w:tr>
      <w:tr>
        <w:tc>
          <w:tcPr>
            <w:tcW w:type="pct" w:w="3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7</w:t>
            </w:r>
          </w:p>
        </w:tc>
        <w:tc>
          <w:tcPr>
            <w:tcW w:type="pct" w:w="13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b/>
                <w:color w:val="1A1A1A"/>
                <w:sz w:val="18"/>
              </w:rPr>
              <w:t>新增治理层论述</w:t>
            </w:r>
          </w:p>
        </w:tc>
        <w:tc>
          <w:tcPr>
            <w:tcW w:type="pct" w:w="17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 xml:space="preserve">AI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风控内容集中在第七章</w:t>
            </w:r>
          </w:p>
        </w:tc>
        <w:tc>
          <w:tcPr>
            <w:tcW w:type="pct" w:w="17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第三、四章新增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“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数据不足拒答原则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”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与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“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受控辅助决策三级权限模型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”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作为方法论原则与实现机制，并在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5.5.3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、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5.5.4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给出实测；与第七章形成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“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原则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—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实现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—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验证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”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的对应关系</w:t>
            </w:r>
          </w:p>
        </w:tc>
      </w:tr>
      <w:tr>
        <w:tc>
          <w:tcPr>
            <w:tcW w:type="pct" w:w="3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8</w:t>
            </w:r>
          </w:p>
        </w:tc>
        <w:tc>
          <w:tcPr>
            <w:tcW w:type="pct" w:w="13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b/>
                <w:color w:val="1A1A1A"/>
                <w:sz w:val="18"/>
              </w:rPr>
              <w:t>模块实现状态如实标注</w:t>
            </w:r>
          </w:p>
        </w:tc>
        <w:tc>
          <w:tcPr>
            <w:tcW w:type="pct" w:w="17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六大痛点均标注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“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可落地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”</w:t>
            </w:r>
          </w:p>
        </w:tc>
        <w:tc>
          <w:tcPr>
            <w:tcW w:type="pct" w:w="17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 xml:space="preserve">3.3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表把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“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可落地性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”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改为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“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实现状态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”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，分三档如实标注：已实现并实测（品类诊断、关联陈列）、部分实现（需求预测）、框架已建但数据未覆盖（自有品牌机会、新品评估）、未实现（千店千面）</w:t>
            </w:r>
          </w:p>
        </w:tc>
      </w:tr>
      <w:tr>
        <w:tc>
          <w:tcPr>
            <w:tcW w:type="pct" w:w="3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9</w:t>
            </w:r>
          </w:p>
        </w:tc>
        <w:tc>
          <w:tcPr>
            <w:tcW w:type="pct" w:w="13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b/>
                <w:color w:val="1A1A1A"/>
                <w:sz w:val="18"/>
              </w:rPr>
              <w:t>可行性评级调整</w:t>
            </w:r>
          </w:p>
        </w:tc>
        <w:tc>
          <w:tcPr>
            <w:tcW w:type="pct" w:w="17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技术高／数据中高／组织中／经济高</w:t>
            </w:r>
          </w:p>
        </w:tc>
        <w:tc>
          <w:tcPr>
            <w:tcW w:type="pct" w:w="17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 xml:space="preserve">技术高（已部分验证）／数据 </w:t>
            </w:r>
            <w:r>
              <w:rPr>
                <w:b/>
                <w:color w:val="1A1A1A"/>
                <w:sz w:val="18"/>
              </w:rPr>
              <w:t>中</w:t>
            </w:r>
            <w:r>
              <w:rPr>
                <w:color w:val="1A1A1A"/>
                <w:sz w:val="18"/>
              </w:rPr>
              <w:t xml:space="preserve"> （下调，附两项数据治理前置条件）／组织中／经济 </w:t>
            </w:r>
            <w:r>
              <w:rPr>
                <w:b/>
                <w:color w:val="1A1A1A"/>
                <w:sz w:val="18"/>
              </w:rPr>
              <w:t>中高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（下调，收益量级待测）；另新增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“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合规与伦理可行性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”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维度</w:t>
            </w:r>
          </w:p>
        </w:tc>
      </w:tr>
      <w:tr>
        <w:tc>
          <w:tcPr>
            <w:tcW w:type="pct" w:w="3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10</w:t>
            </w:r>
          </w:p>
        </w:tc>
        <w:tc>
          <w:tcPr>
            <w:tcW w:type="pct" w:w="13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b/>
                <w:color w:val="1A1A1A"/>
                <w:sz w:val="18"/>
              </w:rPr>
              <w:t>落地路径增加“阶段零”</w:t>
            </w:r>
          </w:p>
        </w:tc>
        <w:tc>
          <w:tcPr>
            <w:tcW w:type="pct" w:w="17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三阶段：试点验证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→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规模推广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→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生态融合</w:t>
            </w:r>
          </w:p>
        </w:tc>
        <w:tc>
          <w:tcPr>
            <w:tcW w:type="pct" w:w="17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保留三阶段骨架，补充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“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阶段零：原型建设（已完成）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”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，并说明原型阶段确定的三件事实（算法口径、数据需求、治理约束）</w:t>
            </w:r>
          </w:p>
        </w:tc>
      </w:tr>
    </w:tbl>
    <w:p>
      <w:bookmarkStart w:id="3" w:name="sy3"/>
      <w:pPr>
        <w:pStyle w:val="Heading2"/>
      </w:pPr>
      <w:bookmarkEnd w:id="3"/>
      <w:r>
        <w:rPr>
          <w:color w:val="1F4E79"/>
          <w:sz w:val="27"/>
        </w:rPr>
        <w:t>三、联动修改清单（本文件未涉及，但合并时须同步修改）</w:t>
      </w:r>
    </w:p>
    <w:p>
      <w:pPr>
        <w:spacing w:line="420" w:lineRule="auto"/>
        <w:jc w:val="both"/>
      </w:pPr>
      <w:r>
        <w:rPr>
          <w:color w:val="1A1A1A"/>
          <w:sz w:val="21"/>
        </w:rPr>
        <w:t>以下位置位于第一、二、七、八章及附录，本文件未作修改，但</w:t>
      </w:r>
      <w:r>
        <w:rPr>
          <w:b/>
          <w:color w:val="1A1A1A"/>
          <w:sz w:val="21"/>
        </w:rPr>
        <w:t>若不同步修改，将与改写后的第三至六章产生前后矛盾</w:t>
      </w:r>
      <w:r>
        <w:rPr>
          <w:color w:val="1A1A1A"/>
          <w:sz w:val="21"/>
        </w:rPr>
        <w:t>。建议按下表逐条处理。</w:t>
      </w:r>
    </w:p>
    <w:tbl>
      <w:tblPr>
        <w:tblW w:type="pct" w:w="5000"/>
        <w:tblLayout w:type="autofit"/>
        <w:tblLook w:firstColumn="1" w:firstRow="1" w:lastColumn="0" w:lastRow="0" w:noHBand="0" w:noVBand="1" w:val="04A0"/>
      </w:tblPr>
      <w:tblGrid>
        <w:gridCol w:w="518"/>
        <w:gridCol w:w="1728"/>
        <w:gridCol w:w="3283"/>
        <w:gridCol w:w="3110"/>
      </w:tblGrid>
      <w:tr>
        <w:tc>
          <w:tcPr>
            <w:tcW w:type="pct" w:w="300"/>
            <w:shd w:fill="EEF3F8" w:val="clear" w:color="auto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b/>
                <w:color w:val="1F4E79"/>
                <w:sz w:val="18"/>
              </w:rPr>
              <w:t>序</w:t>
            </w:r>
          </w:p>
        </w:tc>
        <w:tc>
          <w:tcPr>
            <w:tcW w:type="pct" w:w="1000"/>
            <w:shd w:fill="EEF3F8" w:val="clear" w:color="auto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b/>
                <w:color w:val="1F4E79"/>
                <w:sz w:val="18"/>
              </w:rPr>
              <w:t>位置</w:t>
            </w:r>
          </w:p>
        </w:tc>
        <w:tc>
          <w:tcPr>
            <w:tcW w:type="pct" w:w="1900"/>
            <w:shd w:fill="EEF3F8" w:val="clear" w:color="auto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b/>
                <w:color w:val="1F4E79"/>
                <w:sz w:val="18"/>
              </w:rPr>
              <w:t>原文（须改）</w:t>
            </w:r>
          </w:p>
        </w:tc>
        <w:tc>
          <w:tcPr>
            <w:tcW w:type="pct" w:w="1800"/>
            <w:shd w:fill="EEF3F8" w:val="clear" w:color="auto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b/>
                <w:color w:val="1F4E79"/>
                <w:sz w:val="18"/>
              </w:rPr>
              <w:t>建议改为</w:t>
            </w:r>
          </w:p>
        </w:tc>
      </w:tr>
      <w:tr>
        <w:tc>
          <w:tcPr>
            <w:tcW w:type="pct" w:w="3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1</w:t>
            </w:r>
          </w:p>
        </w:tc>
        <w:tc>
          <w:tcPr>
            <w:tcW w:type="pct" w:w="10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b/>
                <w:color w:val="1A1A1A"/>
                <w:sz w:val="18"/>
              </w:rPr>
              <w:t>摘要</w:t>
            </w:r>
          </w:p>
        </w:tc>
        <w:tc>
          <w:tcPr>
            <w:tcW w:type="pct" w:w="19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“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基于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UCI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公开零售数据集完成算法验证，可直接部署于讯飞星辰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Agent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平台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”“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集成品类诊断、购物篮关联分析、需求预测三大核心模块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”</w:t>
            </w:r>
          </w:p>
        </w:tc>
        <w:tc>
          <w:tcPr>
            <w:tcW w:type="pct" w:w="18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改为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“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已在自研可运行平台上完成算法验证（前后端双实现结果逐位一致，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186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项断言与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11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项接口测试全部通过），并以双轨架构对接讯飞星辰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Agent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平台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”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，并补充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“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数据不足即拒答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”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的可信性机制与三级审批分级</w:t>
            </w:r>
          </w:p>
        </w:tc>
      </w:tr>
      <w:tr>
        <w:tc>
          <w:tcPr>
            <w:tcW w:type="pct" w:w="3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2</w:t>
            </w:r>
          </w:p>
        </w:tc>
        <w:tc>
          <w:tcPr>
            <w:tcW w:type="pct" w:w="10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b/>
                <w:color w:val="1A1A1A"/>
                <w:sz w:val="18"/>
              </w:rPr>
              <w:t>摘要</w:t>
            </w:r>
          </w:p>
        </w:tc>
        <w:tc>
          <w:tcPr>
            <w:tcW w:type="pct" w:w="19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 xml:space="preserve">“AI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选品可使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SKU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推荐准确率提升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30%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以上、缺货率降低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15%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、库存周转效率提升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35%”</w:t>
            </w:r>
          </w:p>
        </w:tc>
        <w:tc>
          <w:tcPr>
            <w:tcW w:type="pct" w:w="18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保留，但须明确标注为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“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行业公开数据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”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，并补一句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“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本研究尚未在真实数据上验证上述改善幅度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”</w:t>
            </w:r>
          </w:p>
        </w:tc>
      </w:tr>
      <w:tr>
        <w:tc>
          <w:tcPr>
            <w:tcW w:type="pct" w:w="3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3</w:t>
            </w:r>
          </w:p>
        </w:tc>
        <w:tc>
          <w:tcPr>
            <w:tcW w:type="pct" w:w="10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b/>
                <w:color w:val="1A1A1A"/>
                <w:sz w:val="18"/>
              </w:rPr>
              <w:t>第八章 8.1（3）</w:t>
            </w:r>
          </w:p>
        </w:tc>
        <w:tc>
          <w:tcPr>
            <w:tcW w:type="pct" w:w="19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“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智能体采用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‘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本地算法计算＋云端知识推理＋平台人机交互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’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的三层架构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……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已在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UCI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公开零售数据集（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54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万条交易记录）上完成算法验证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”</w:t>
            </w:r>
          </w:p>
        </w:tc>
        <w:tc>
          <w:tcPr>
            <w:tcW w:type="pct" w:w="18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改为双轨架构表述，验证依据改为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“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自建演示数据集（品类销售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84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条、交易明细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22,022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条、需求预测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80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条）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”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，并补充双实现一致性验证与五层验证体系的结论</w:t>
            </w:r>
          </w:p>
        </w:tc>
      </w:tr>
      <w:tr>
        <w:tc>
          <w:tcPr>
            <w:tcW w:type="pct" w:w="3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4</w:t>
            </w:r>
          </w:p>
        </w:tc>
        <w:tc>
          <w:tcPr>
            <w:tcW w:type="pct" w:w="10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b/>
                <w:color w:val="1A1A1A"/>
                <w:sz w:val="18"/>
              </w:rPr>
              <w:t>第八章 8.2（1）</w:t>
            </w:r>
          </w:p>
        </w:tc>
        <w:tc>
          <w:tcPr>
            <w:tcW w:type="pct" w:w="19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“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实证分析主要基于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UCI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公开零售数据集完成算法验证，未能使用苏果真实交易数据开展场景化验证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”</w:t>
            </w:r>
          </w:p>
        </w:tc>
        <w:tc>
          <w:tcPr>
            <w:tcW w:type="pct" w:w="18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改为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“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实证分析基于基于公开行业数据构造的模拟演示数据集完成，其中交易明细为参照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UCI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数据集结构构造（未直接使用其原始数据）；未能使用苏果真实交易数据开展场景化验证。此外，需求预测模块尚未完成模型拟合与样本外回测，故未报告预测精度指标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”</w:t>
            </w:r>
          </w:p>
        </w:tc>
      </w:tr>
      <w:tr>
        <w:tc>
          <w:tcPr>
            <w:tcW w:type="pct" w:w="3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5</w:t>
            </w:r>
          </w:p>
        </w:tc>
        <w:tc>
          <w:tcPr>
            <w:tcW w:type="pct" w:w="10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b/>
                <w:color w:val="1A1A1A"/>
                <w:sz w:val="18"/>
              </w:rPr>
              <w:t>第八章 8.2（3）</w:t>
            </w:r>
          </w:p>
        </w:tc>
        <w:tc>
          <w:tcPr>
            <w:tcW w:type="pct" w:w="19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“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当前智能体仅实现了核心选品功能模块，千店千面差异化选品、自有品牌智能推荐等扩展功能尚未开发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”</w:t>
            </w:r>
          </w:p>
        </w:tc>
        <w:tc>
          <w:tcPr>
            <w:tcW w:type="pct" w:w="18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改为按实现状态分档表述：品类诊断与关联陈列已实测可用，需求预测为趋势判定级实现，自有品牌机会与新品评估为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“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框架已建、缺数据未覆盖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”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，千店千面未实现</w:t>
            </w:r>
          </w:p>
        </w:tc>
      </w:tr>
      <w:tr>
        <w:tc>
          <w:tcPr>
            <w:tcW w:type="pct" w:w="3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6</w:t>
            </w:r>
          </w:p>
        </w:tc>
        <w:tc>
          <w:tcPr>
            <w:tcW w:type="pct" w:w="10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b/>
                <w:color w:val="1A1A1A"/>
                <w:sz w:val="18"/>
              </w:rPr>
              <w:t>第八章 8.3 未来展望</w:t>
            </w:r>
          </w:p>
        </w:tc>
        <w:tc>
          <w:tcPr>
            <w:tcW w:type="pct" w:w="19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“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在获取苏果真实销售数据后，开展门店场景化的算法验证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”</w:t>
            </w:r>
          </w:p>
        </w:tc>
        <w:tc>
          <w:tcPr>
            <w:tcW w:type="pct" w:w="18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建议增补一项可验收的具体任务：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“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完成需求预测的时间序列模型拟合与样本外回测（需不少于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2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年历史数据，并引入天气、节假日、促销活动三类外生变量）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”</w:t>
            </w:r>
          </w:p>
        </w:tc>
      </w:tr>
      <w:tr>
        <w:tc>
          <w:tcPr>
            <w:tcW w:type="pct" w:w="3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7</w:t>
            </w:r>
          </w:p>
        </w:tc>
        <w:tc>
          <w:tcPr>
            <w:tcW w:type="pct" w:w="10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b/>
                <w:color w:val="1A1A1A"/>
                <w:sz w:val="18"/>
              </w:rPr>
              <w:t>附录 B（数据集说明表）</w:t>
            </w:r>
          </w:p>
        </w:tc>
        <w:tc>
          <w:tcPr>
            <w:tcW w:type="pct" w:w="19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“dataset_transactions_sample.csv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：基于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UCI Online Retail Dataset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抽样的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5000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条交易记录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”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；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“dataset_category_health.csv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：基于苏果公开经营数据和行业平均水平构造的模拟数据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”</w:t>
            </w:r>
          </w:p>
        </w:tc>
        <w:tc>
          <w:tcPr>
            <w:tcW w:type="pct" w:w="18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交易明细须改为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“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b/>
                <w:color w:val="1A1A1A"/>
                <w:sz w:val="18"/>
              </w:rPr>
              <w:t>参照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UCI Online Retail Dataset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结构构造的商超场景模拟数据，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b/>
                <w:color w:val="1A1A1A"/>
                <w:sz w:val="18"/>
              </w:rPr>
              <w:t>未直接使用其原始数据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”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（此为数据集自带说明文档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README_data.txt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中的原始表述，原附录描述与之不符）；并补齐规模字段（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5,000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笔交易／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22,022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条明细）与其他两个数据集的行列数</w:t>
            </w:r>
          </w:p>
        </w:tc>
      </w:tr>
      <w:tr>
        <w:tc>
          <w:tcPr>
            <w:tcW w:type="pct" w:w="3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8</w:t>
            </w:r>
          </w:p>
        </w:tc>
        <w:tc>
          <w:tcPr>
            <w:tcW w:type="pct" w:w="10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b/>
                <w:color w:val="1A1A1A"/>
                <w:sz w:val="18"/>
              </w:rPr>
              <w:t>附录 C（讯飞星辰智能体配置说明）</w:t>
            </w:r>
          </w:p>
        </w:tc>
        <w:tc>
          <w:tcPr>
            <w:tcW w:type="pct" w:w="19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系统提示词为一段约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100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字的简述；知识库与工作流均为概括描述</w:t>
            </w:r>
          </w:p>
        </w:tc>
        <w:tc>
          <w:tcPr>
            <w:tcW w:type="pct" w:w="18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 xml:space="preserve">替换为完整的提示词与配置方案（系统提示词全文、工作流节点设计、知识库文档清单、智能体参数表）， </w:t>
            </w:r>
            <w:r>
              <w:rPr>
                <w:b/>
                <w:color w:val="1A1A1A"/>
                <w:sz w:val="18"/>
              </w:rPr>
              <w:t>已收录为本稿附录 C</w:t>
            </w:r>
          </w:p>
        </w:tc>
      </w:tr>
      <w:tr>
        <w:tc>
          <w:tcPr>
            <w:tcW w:type="pct" w:w="3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9</w:t>
            </w:r>
          </w:p>
        </w:tc>
        <w:tc>
          <w:tcPr>
            <w:tcW w:type="pct" w:w="10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b/>
                <w:color w:val="1A1A1A"/>
                <w:sz w:val="18"/>
              </w:rPr>
              <w:t>参考文献 [19]</w:t>
            </w:r>
          </w:p>
        </w:tc>
        <w:tc>
          <w:tcPr>
            <w:tcW w:type="pct" w:w="19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UCI Machine Learning Repository. Online Retail Dataset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（作为算法验证数据来源）</w:t>
            </w:r>
          </w:p>
        </w:tc>
        <w:tc>
          <w:tcPr>
            <w:tcW w:type="pct" w:w="18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保留该条，但建议在正文首次引用处明确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“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仅参照其数据结构构造模拟数据，未直接使用原始记录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”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，避免与数据集说明文档的免责声明冲突</w:t>
            </w:r>
          </w:p>
        </w:tc>
      </w:tr>
      <w:tr>
        <w:tc>
          <w:tcPr>
            <w:tcW w:type="pct" w:w="3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10</w:t>
            </w:r>
          </w:p>
        </w:tc>
        <w:tc>
          <w:tcPr>
            <w:tcW w:type="pct" w:w="10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b/>
                <w:color w:val="1A1A1A"/>
                <w:sz w:val="18"/>
              </w:rPr>
              <w:t>参考文献</w:t>
            </w:r>
          </w:p>
        </w:tc>
        <w:tc>
          <w:tcPr>
            <w:tcW w:type="pct" w:w="19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原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24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条</w:t>
            </w:r>
          </w:p>
        </w:tc>
        <w:tc>
          <w:tcPr>
            <w:tcW w:type="pct" w:w="18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建议增补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1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条：本项目自建平台的源代码仓库与线上演示地址，便于评审复算核实</w:t>
            </w:r>
          </w:p>
        </w:tc>
      </w:tr>
      <w:tr>
        <w:tc>
          <w:tcPr>
            <w:tcW w:type="pct" w:w="3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11</w:t>
            </w:r>
          </w:p>
        </w:tc>
        <w:tc>
          <w:tcPr>
            <w:tcW w:type="pct" w:w="10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b/>
                <w:color w:val="1A1A1A"/>
                <w:sz w:val="18"/>
              </w:rPr>
              <w:t>第二章 2.1（末段）</w:t>
            </w:r>
          </w:p>
        </w:tc>
        <w:tc>
          <w:tcPr>
            <w:tcW w:type="pct" w:w="19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“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本轮改革主要依靠采购人员经验判断与对标行业模式，尚未引入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AI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算法构建数据驱动的选品决策体系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”</w:t>
            </w:r>
          </w:p>
        </w:tc>
        <w:tc>
          <w:tcPr>
            <w:tcW w:type="pct" w:w="18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建议保留（该表述与实情相符），但可补充一句：本研究已建成可运行原型，为缓解该能力缺口提供了技术准备</w:t>
            </w:r>
          </w:p>
        </w:tc>
      </w:tr>
      <w:tr>
        <w:tc>
          <w:tcPr>
            <w:tcW w:type="pct" w:w="3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12</w:t>
            </w:r>
          </w:p>
        </w:tc>
        <w:tc>
          <w:tcPr>
            <w:tcW w:type="pct" w:w="10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b/>
                <w:color w:val="1A1A1A"/>
                <w:sz w:val="18"/>
              </w:rPr>
              <w:t>第七章 7.2（3）大模型幻觉抑制</w:t>
            </w:r>
          </w:p>
        </w:tc>
        <w:tc>
          <w:tcPr>
            <w:tcW w:type="pct" w:w="19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“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智能体的输出严格基于知识库中的算法结果与真实数据，不得编造不存在的数据与结论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”</w:t>
            </w:r>
          </w:p>
        </w:tc>
        <w:tc>
          <w:tcPr>
            <w:tcW w:type="pct" w:w="18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建议补充实现层面的证据：平台已将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“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数据不足即拒答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”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实现为统一返回契约（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rFonts w:ascii="Courier" w:hAnsi="Courier"/>
                <w:color w:val="1A1A1A"/>
                <w:sz w:val="18"/>
              </w:rPr>
              <w:t>ok=false, insufficient=true, reason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，且响应体中不含任何量化结果字段），并有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5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类拒答场景的实测记录可供复核（见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5.5.3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），使该条从要求变为已验证的机制</w:t>
            </w:r>
          </w:p>
        </w:tc>
      </w:tr>
    </w:tbl>
    <w:p>
      <w:bookmarkStart w:id="4" w:name="sy4"/>
      <w:pPr>
        <w:pStyle w:val="Heading2"/>
      </w:pPr>
      <w:bookmarkEnd w:id="4"/>
      <w:r>
        <w:rPr>
          <w:color w:val="1F4E79"/>
          <w:sz w:val="27"/>
        </w:rPr>
        <w:t>四、合并时的三点提醒</w:t>
      </w:r>
    </w:p>
    <w:p>
      <w:pPr>
        <w:spacing w:line="420" w:lineRule="auto"/>
        <w:jc w:val="both"/>
      </w:pPr>
      <w:r>
        <w:rPr>
          <w:b/>
          <w:color w:val="1A1A1A"/>
          <w:sz w:val="21"/>
        </w:rPr>
        <w:t>第一，全篇须保持“三种数据、三种标注”的一致性。</w:t>
      </w:r>
      <w:r>
        <w:rPr>
          <w:color w:val="1A1A1A"/>
          <w:sz w:val="21"/>
        </w:rPr>
        <w:t>改写稿严格区分</w:t>
      </w:r>
      <w:r>
        <w:rPr>
          <w:color w:val="1A1A1A"/>
          <w:sz w:val="21"/>
        </w:rPr>
        <w:t>“</w:t>
      </w:r>
      <w:r>
        <w:rPr>
          <w:color w:val="1A1A1A"/>
          <w:sz w:val="21"/>
        </w:rPr>
        <w:t>平台实测</w:t>
      </w:r>
      <w:r>
        <w:rPr>
          <w:color w:val="1A1A1A"/>
          <w:sz w:val="21"/>
        </w:rPr>
        <w:t>”</w:t>
      </w:r>
      <w:r>
        <w:rPr>
          <w:color w:val="1A1A1A"/>
          <w:sz w:val="21"/>
        </w:rPr>
        <w:t>（由平台算法在演示数据集上现场计算得出）、</w:t>
      </w:r>
      <w:r>
        <w:rPr>
          <w:color w:val="1A1A1A"/>
          <w:sz w:val="21"/>
        </w:rPr>
        <w:t>“</w:t>
      </w:r>
      <w:r>
        <w:rPr>
          <w:color w:val="1A1A1A"/>
          <w:sz w:val="21"/>
        </w:rPr>
        <w:t>附件参考</w:t>
      </w:r>
      <w:r>
        <w:rPr>
          <w:color w:val="1A1A1A"/>
          <w:sz w:val="21"/>
        </w:rPr>
        <w:t>”</w:t>
      </w:r>
      <w:r>
        <w:rPr>
          <w:color w:val="1A1A1A"/>
          <w:sz w:val="21"/>
        </w:rPr>
        <w:t>（数据集文件中已给定的参考结果）与</w:t>
      </w:r>
      <w:r>
        <w:rPr>
          <w:color w:val="1A1A1A"/>
          <w:sz w:val="21"/>
        </w:rPr>
        <w:t>“</w:t>
      </w:r>
      <w:r>
        <w:rPr>
          <w:color w:val="1A1A1A"/>
          <w:sz w:val="21"/>
        </w:rPr>
        <w:t>行业公开</w:t>
      </w:r>
      <w:r>
        <w:rPr>
          <w:color w:val="1A1A1A"/>
          <w:sz w:val="21"/>
        </w:rPr>
        <w:t>”</w:t>
      </w:r>
      <w:r>
        <w:rPr>
          <w:color w:val="1A1A1A"/>
          <w:sz w:val="21"/>
        </w:rPr>
        <w:t>（引自公开报告或媒体的外部数据），共三类。合并时请确保新增或保留的其他章节沿用同一套标注方式，避免出现同一数字在不同章节被归入不同性质的情况。</w:t>
      </w:r>
    </w:p>
    <w:p>
      <w:pPr>
        <w:spacing w:line="420" w:lineRule="auto"/>
        <w:jc w:val="both"/>
      </w:pPr>
      <w:r>
        <w:rPr>
          <w:b/>
          <w:color w:val="1A1A1A"/>
          <w:sz w:val="21"/>
        </w:rPr>
        <w:t>第二，注意“已实现／部分实现／未实现”的表述必须全篇一致。</w:t>
      </w:r>
      <w:r>
        <w:rPr>
          <w:color w:val="1A1A1A"/>
          <w:sz w:val="21"/>
        </w:rPr>
        <w:t>改写稿在</w:t>
      </w:r>
      <w:r>
        <w:rPr>
          <w:color w:val="1A1A1A"/>
          <w:sz w:val="21"/>
        </w:rPr>
        <w:t xml:space="preserve"> 3.3</w:t>
      </w:r>
      <w:r>
        <w:rPr>
          <w:color w:val="1A1A1A"/>
          <w:sz w:val="21"/>
        </w:rPr>
        <w:t>、</w:t>
      </w:r>
      <w:r>
        <w:rPr>
          <w:color w:val="1A1A1A"/>
          <w:sz w:val="21"/>
        </w:rPr>
        <w:t>4.2</w:t>
      </w:r>
      <w:r>
        <w:rPr>
          <w:color w:val="1A1A1A"/>
          <w:sz w:val="21"/>
        </w:rPr>
        <w:t>、</w:t>
      </w:r>
      <w:r>
        <w:rPr>
          <w:color w:val="1A1A1A"/>
          <w:sz w:val="21"/>
        </w:rPr>
        <w:t>4.2.4</w:t>
      </w:r>
      <w:r>
        <w:rPr>
          <w:color w:val="1A1A1A"/>
          <w:sz w:val="21"/>
        </w:rPr>
        <w:t>、</w:t>
      </w:r>
      <w:r>
        <w:rPr>
          <w:color w:val="1A1A1A"/>
          <w:sz w:val="21"/>
        </w:rPr>
        <w:t xml:space="preserve">8.2 </w:t>
      </w:r>
      <w:r>
        <w:rPr>
          <w:color w:val="1A1A1A"/>
          <w:sz w:val="21"/>
        </w:rPr>
        <w:t>相关位置均按同一口径描述各模块的实现状态。若其他章节出现</w:t>
      </w:r>
      <w:r>
        <w:rPr>
          <w:color w:val="1A1A1A"/>
          <w:sz w:val="21"/>
        </w:rPr>
        <w:t>“</w:t>
      </w:r>
      <w:r>
        <w:rPr>
          <w:color w:val="1A1A1A"/>
          <w:sz w:val="21"/>
        </w:rPr>
        <w:t>已实现千店千面</w:t>
      </w:r>
      <w:r>
        <w:rPr>
          <w:color w:val="1A1A1A"/>
          <w:sz w:val="21"/>
        </w:rPr>
        <w:t>”</w:t>
      </w:r>
      <w:r>
        <w:rPr>
          <w:color w:val="1A1A1A"/>
          <w:sz w:val="21"/>
        </w:rPr>
        <w:t>之类的表述，将与本稿直接冲突。</w:t>
      </w:r>
    </w:p>
    <w:p>
      <w:pPr>
        <w:spacing w:line="420" w:lineRule="auto"/>
        <w:jc w:val="both"/>
      </w:pPr>
      <w:r>
        <w:rPr>
          <w:b/>
          <w:color w:val="1A1A1A"/>
          <w:sz w:val="21"/>
        </w:rPr>
        <w:t>第三，本改写稿中出现的每一个数值都可复算。</w:t>
      </w:r>
      <w:r>
        <w:rPr>
          <w:color w:val="1A1A1A"/>
          <w:sz w:val="21"/>
        </w:rPr>
        <w:t>数据来源包括：随作品提交的</w:t>
      </w:r>
      <w:r>
        <w:rPr>
          <w:color w:val="1A1A1A"/>
          <w:sz w:val="21"/>
        </w:rPr>
        <w:t xml:space="preserve"> 5 </w:t>
      </w:r>
      <w:r>
        <w:rPr>
          <w:color w:val="1A1A1A"/>
          <w:sz w:val="21"/>
        </w:rPr>
        <w:t>个数据集文件、平台前端（可直接交互复算）、平台后台服务（提供</w:t>
      </w:r>
      <w:r>
        <w:rPr>
          <w:color w:val="1A1A1A"/>
          <w:sz w:val="21"/>
        </w:rPr>
        <w:t xml:space="preserve"> OpenAPI </w:t>
      </w:r>
      <w:r>
        <w:rPr>
          <w:color w:val="1A1A1A"/>
          <w:sz w:val="21"/>
        </w:rPr>
        <w:t>文档，可逐接口调用复算）、以及仓库中可运行的</w:t>
      </w:r>
      <w:r>
        <w:rPr>
          <w:color w:val="1A1A1A"/>
          <w:sz w:val="21"/>
        </w:rPr>
        <w:t xml:space="preserve"> 5 </w:t>
      </w:r>
      <w:r>
        <w:rPr>
          <w:color w:val="1A1A1A"/>
          <w:sz w:val="21"/>
        </w:rPr>
        <w:t>套验证脚本与</w:t>
      </w:r>
      <w:r>
        <w:rPr>
          <w:color w:val="1A1A1A"/>
          <w:sz w:val="21"/>
        </w:rPr>
        <w:t xml:space="preserve"> 1 </w:t>
      </w:r>
      <w:r>
        <w:rPr>
          <w:color w:val="1A1A1A"/>
          <w:sz w:val="21"/>
        </w:rPr>
        <w:t>套接口测试。如评审需要复核任一数值，上述任一路径均可独立完成。这也是本研究把</w:t>
      </w:r>
      <w:r>
        <w:rPr>
          <w:color w:val="1A1A1A"/>
          <w:sz w:val="21"/>
        </w:rPr>
        <w:t>“</w:t>
      </w:r>
      <w:r>
        <w:rPr>
          <w:color w:val="1A1A1A"/>
          <w:sz w:val="21"/>
        </w:rPr>
        <w:t>可复算</w:t>
      </w:r>
      <w:r>
        <w:rPr>
          <w:color w:val="1A1A1A"/>
          <w:sz w:val="21"/>
        </w:rPr>
        <w:t>”</w:t>
      </w:r>
      <w:r>
        <w:rPr>
          <w:color w:val="1A1A1A"/>
          <w:sz w:val="21"/>
        </w:rPr>
        <w:t>作为设计原则之一的直接目的。</w:t>
      </w:r>
      <w:r/>
      <w:r/>
      <w:r/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797" w:bottom="1440" w:left="1797" w:header="720" w:footer="72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156" w:val="center"/>
        <w:tab w:pos="8312" w:val="right"/>
      </w:tabs>
    </w:pPr>
    <w:r>
      <w:tab/>
    </w:r>
    <w:fldSimple w:instr="PAGE">
      <w:r>
        <w:t/>
      </w:r>
    </w:fldSimple>
    <w:r>
      <w:t xml:space="preserve"> / </w:t>
    </w:r>
    <w:fldSimple w:instr="NUMPAGES">
      <w:r>
        <w:t/>
      </w:r>
    </w:fldSimple>
    <w:r>
      <w:tab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4156" w:val="center"/>
        <w:tab w:pos="8312" w:val="right"/>
      </w:tabs>
    </w:pPr>
    <w:r>
      <w:tab/>
    </w:r>
    <w:r>
      <w:tab/>
    </w:r>
    <w:r>
      <w:fldChar w:fldCharType="begin"/>
    </w:r>
    <w:r>
      <w:instrText xml:space="preserve"> STYLEREF Heading1 \* MERGEFORMAT </w:instrText>
    </w:r>
    <w:r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57" w:lineRule="auto" w:before="60" w:after="120"/>
      <w:jc w:val="both"/>
    </w:pPr>
    <w:rPr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240"/>
      <w:outlineLvl w:val="0"/>
    </w:pPr>
    <w:rPr>
      <w:rFonts w:asciiTheme="majorHAnsi" w:eastAsiaTheme="majorEastAsia" w:hAnsiTheme="majorHAnsi" w:cstheme="majorBidi"/>
      <w:b/>
      <w:bCs/>
      <w:color w:val="1F4E79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00" w:after="160"/>
      <w:outlineLvl w:val="1"/>
    </w:pPr>
    <w:rPr>
      <w:rFonts w:asciiTheme="majorHAnsi" w:eastAsiaTheme="majorEastAsia" w:hAnsiTheme="majorHAnsi" w:cstheme="majorBidi"/>
      <w:b/>
      <w:bCs/>
      <w:color w:val="1F4E79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/>
      <w:b/>
      <w:bCs/>
      <w:color w:val="2C3E5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00"/>
      <w:outlineLvl w:val="3"/>
    </w:pPr>
    <w:rPr>
      <w:rFonts w:asciiTheme="majorHAnsi" w:eastAsiaTheme="majorEastAsia" w:hAnsiTheme="majorHAnsi" w:cstheme="majorBidi"/>
      <w:b/>
      <w:bCs/>
      <w:i/>
      <w:iCs/>
      <w:color w:val="2C3E50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