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Weekly ZGA/MZT Paper Summary</w:t>
      </w:r>
    </w:p>
    <w:p>
      <w:r>
        <w:t>Date range: 2026-07-13 to 2026-07-20</w:t>
      </w:r>
    </w:p>
    <w:p>
      <w:r>
        <w:t>Number of papers found: 3</w:t>
      </w:r>
    </w:p>
    <w:p>
      <w:pPr>
        <w:pStyle w:val="Heading2"/>
      </w:pPr>
      <w:r>
        <w:t>1. Inhibition of mitochondrial complex I impedes zygotic genome activation via PDH-histone modification retrograde signaling.</w:t>
      </w:r>
    </w:p>
    <w:p>
      <w:r>
        <w:t>Source: PubMed</w:t>
      </w:r>
    </w:p>
    <w:p>
      <w:r>
        <w:t>Journal/server: Biochemical and biophysical research communications</w:t>
      </w:r>
    </w:p>
    <w:p>
      <w:r>
        <w:t>Date: 2026-07-20</w:t>
      </w:r>
    </w:p>
    <w:p>
      <w:r>
        <w:t>DOI: 10.1016/j.bbrc.2026.154296</w:t>
      </w:r>
    </w:p>
    <w:p>
      <w:r>
        <w:t>Link: https://pubmed.ncbi.nlm.nih.gov/42468378/</w:t>
      </w:r>
    </w:p>
    <w:p>
      <w:pPr>
        <w:pStyle w:val="Heading3"/>
      </w:pPr>
      <w:r>
        <w:t>Abstract</w:t>
      </w:r>
    </w:p>
    <w:p>
      <w:r>
        <w:t>Rotenone (RTN), an insecticide that functions through inhibiting mitochondrial electron transport chain complex I, has been demonstrated to impair reproductive health in mammals. Nevertheless, its impact on the process of preimplantation development remains to be elucidated. In this study, the toxic effects of RTN on mouse preimplantation embryo development were determined by exposure to different concentrations of RTN. RTN exposure resulted in developmental arrest of mouse preimplantation embryos in a dose-dependent manner. Mechanistically, RTN treatment induced mitochondrial dysfunction, elevated ROS levels, severe DNA damage and developmental arrest at the 2-cell stage. Furthermore, RTN treatment resulted in the failure of nuclear localization of the mitochondrial TCA cycle enzyme, pyruvate dehydrogenase (PDH), and abnormalities in histone modifications. This, in turn, led to impaired zygotic genome activation and development beyond the 2-cell stage. In addition, dichloroacetic acid enhanced the nuclear localization of PDH in 2-cell embryo, thereby augmenting TCA flux and promoting preimplantation development. In conclusion, RTN has the potential to exert cytotoxic effects on mammalian reproduction, and electron transport chain complex I inhibitors should be used with caution when applied to the treatment of reproductive diseases. Furthermore, this study enhances our comprehension of the interplay between mitochondrial metabolism and epigenetic regulation in early embryos.</w:t>
      </w:r>
    </w:p>
    <w:p>
      <w:pPr>
        <w:pStyle w:val="Heading3"/>
      </w:pPr>
      <w:r>
        <w:t>Brief summary</w:t>
      </w:r>
    </w:p>
    <w:p>
      <w:r>
        <w:t>Rotenone (RTN), an insecticide that functions through inhibiting mitochondrial electron transport chain complex I, has been demonstrated to impair reproductive health in mammals. Nevertheless, its impact on the process of preimplantation development remains to be elucidated. In this study, the toxic effects of RTN on mouse preimplantation embryo development were determined by exposure to different concentrations of RTN. RTN exposure resulted in developmental arrest of mouse preimplantation embryos in a dose-dependent manner.</w:t>
      </w:r>
    </w:p>
    <w:p>
      <w:pPr>
        <w:pStyle w:val="Heading2"/>
      </w:pPr>
      <w:r>
        <w:t>2. Transcriptomic profiling of exRNA from spent human embryonic-cleavage culture medium reveals potential in embryo quality assessment&amp;#xff1a;a retrospective study.</w:t>
      </w:r>
    </w:p>
    <w:p>
      <w:r>
        <w:t>Source: PubMed</w:t>
      </w:r>
    </w:p>
    <w:p>
      <w:r>
        <w:t>Journal/server: Reproduction (Cambridge, England)</w:t>
      </w:r>
    </w:p>
    <w:p>
      <w:r>
        <w:t>Date: 2026-07-20</w:t>
      </w:r>
    </w:p>
    <w:p>
      <w:r>
        <w:t>DOI: 10.1093/reprod/xaag086</w:t>
      </w:r>
    </w:p>
    <w:p>
      <w:r>
        <w:t>Link: https://pubmed.ncbi.nlm.nih.gov/42444146/</w:t>
      </w:r>
    </w:p>
    <w:p>
      <w:pPr>
        <w:pStyle w:val="Heading3"/>
      </w:pPr>
      <w:r>
        <w:t>Abstract</w:t>
      </w:r>
    </w:p>
    <w:p>
      <w:r>
        <w:t>The exRNA transcriptome of the preimplantation embryo culture medium constitutes a comprehensive profile of embryonic RNAs, offering a non-invasive resource for elucidating developmental status. To delineate its relationship with the maternal-to-zygotic (MZT) transition and evaluate its predictive potential for developmental outcomes, we performed systematic exRNA transcriptome profiling of individually cultured cleavage-stage embryos. This study included 34 spent culture medium (SECM) samples for day 3 in vitro preimplantation cleavage embryos from 30 patients undergoing IVF/ICSI. 24 morphologically high-grade samples (Grade I, n&amp;#x2009;=&amp;#x2009;12; Grade II, n&amp;#x2009;=&amp;#x2009;12) and 10 low grade samples (Grade III, n&amp;#x2009;=&amp;#x2009;6; abnormal PNs, n&amp;#x2009;=&amp;#x2009;2; arrested embryos, n&amp;#x2009;=&amp;#x2009;2) were included. Embryo transfer after the SECM collection was traced for subsequent clinical pregnancy outcome. ExRNA transcriptome from cleavage SECM showed 81.78% concordance with embryonic gene expression profiles. 1,058 differentially expressed exRNA markers were identified across embryo morphological grading groups, revealing MZT-related molecular dynamics prior to blastocyst formation. A 300-gene signature significantly correlated with embryonic developmental potential was established. The accuracy and robustness of the models were validated using clinical samples. The LogitBoost model built on exRNA profile yielded an AUC value above 0.95, indicating encouraging performance for embryo assessment. This study establishes SECM exRNA profiling as a non-invasive method for capturing key molecular events during early embryo development, particularly MZT activation. The identified exRNA biomarkers and machine learning models provide a promising framework for the objective assessment of embryo developmental potential, warranting further validation to overcome the limitations of conventional morphology-based selection in IVF.</w:t>
      </w:r>
    </w:p>
    <w:p>
      <w:pPr>
        <w:pStyle w:val="Heading3"/>
      </w:pPr>
      <w:r>
        <w:t>Brief summary</w:t>
      </w:r>
    </w:p>
    <w:p>
      <w:r>
        <w:t>The exRNA transcriptome of the preimplantation embryo culture medium constitutes a comprehensive profile of embryonic RNAs, offering a non-invasive resource for elucidating developmental status. To delineate its relationship with the maternal-to-zygotic (MZT) transition and evaluate its predictive potential for developmental outcomes, we performed systematic exRNA transcriptome profiling of individually cultured cleavage-stage embryos. This study included 34 spent culture medium (SECM) samples for day 3 in vitro preimplantation cleavage embryos from 30 patients undergoing IVF/ICSI. 24 morphologically high-grade samples (Grade I, n&amp;#x2009;=&amp;#x2009;12; Grade II, n&amp;#x2009;=&amp;#x2009;12) and 10 low grade samples (Grade III, n&amp;#x2009;=&amp;#x2009;6; abnormal PNs, n&amp;#x2009;=&amp;#x2009;2; arrested embryos, n&amp;#x2009;=&amp;#x2009;2) were included.</w:t>
      </w:r>
    </w:p>
    <w:p>
      <w:pPr>
        <w:pStyle w:val="Heading2"/>
      </w:pPr>
      <w:r>
        <w:t>3. No title found</w:t>
      </w:r>
    </w:p>
    <w:p>
      <w:r>
        <w:t>Source: PubMed</w:t>
      </w:r>
    </w:p>
    <w:p>
      <w:r>
        <w:t>Journal/server: PubMed</w:t>
      </w:r>
    </w:p>
    <w:p>
      <w:r>
        <w:t>Date: 2026-07-20</w:t>
      </w:r>
    </w:p>
    <w:p>
      <w:r>
        <w:t xml:space="preserve">DOI: </w:t>
      </w:r>
    </w:p>
    <w:p>
      <w:r>
        <w:t>Link: https://pubmed.ncbi.nlm.nih.gov/42440166/</w:t>
      </w:r>
    </w:p>
    <w:p>
      <w:pPr>
        <w:pStyle w:val="Heading3"/>
      </w:pPr>
      <w:r>
        <w:t>Abstract</w:t>
      </w:r>
    </w:p>
    <w:p>
      <w:r>
        <w:t>No abstract available.</w:t>
      </w:r>
    </w:p>
    <w:p>
      <w:pPr>
        <w:pStyle w:val="Heading3"/>
      </w:pPr>
      <w:r>
        <w:t>Brief summary</w:t>
      </w:r>
    </w:p>
    <w:p>
      <w:r>
        <w:t>No abstract was available. Review the linked paper manually.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