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2026-06-08 to 2026-06-15</w:t>
      </w:r>
    </w:p>
    <w:p>
      <w:r>
        <w:t>Number of papers found: 3</w:t>
      </w:r>
    </w:p>
    <w:p>
      <w:pPr>
        <w:pStyle w:val="Heading2"/>
      </w:pPr>
      <w:r>
        <w:t>1. NAD&lt;sup&gt;+&lt;/sup&gt; Metabolism Licenses Zygotic Genome Activation via PARP7-Mediated ADP-Ribosylation of UHRF1 in Mouse Early Embryos.</w:t>
      </w:r>
    </w:p>
    <w:p>
      <w:r>
        <w:t>Source: PubMed</w:t>
      </w:r>
    </w:p>
    <w:p>
      <w:r>
        <w:t>Journal/server: Advanced science (Weinheim, Baden-Wurttemberg, Germany)</w:t>
      </w:r>
    </w:p>
    <w:p>
      <w:r>
        <w:t>Date: 2026-06-15</w:t>
      </w:r>
    </w:p>
    <w:p>
      <w:r>
        <w:t>DOI: 10.1002/advs.76136</w:t>
      </w:r>
    </w:p>
    <w:p>
      <w:r>
        <w:t>Link: https://pubmed.ncbi.nlm.nih.gov/42294794/</w:t>
      </w:r>
    </w:p>
    <w:p>
      <w:pPr>
        <w:pStyle w:val="Heading3"/>
      </w:pPr>
      <w:r>
        <w:t>Abstract</w:t>
      </w:r>
    </w:p>
    <w:p>
      <w:r>
        <w:t>Zygotic genome activation (ZGA) is a critical developmental milestone whose metabolic regulation remains unclear. This study identifies a pivotal role for Nicotinamide adenine dinucleotide (NAD&lt;sup&gt;+&lt;/sup&gt;) metabolism in regulating ZGA through poly(ADP&amp;#x2011;ribose) polymerase 7(PARP7)-mediated ADP-ribosylation. Using ultra-low input embryo metabolomics, we profiled metabolism from zygote to blastocyst, revealing a significant NAD&lt;sup&gt;+&lt;/sup&gt; decline at the 2-cell stage. This shift coincided with specific upregulation of the mono-ADP-ribosyltransferase PARP7, confirmed by transcriptomics, quantitative RT-PCR, western blot, and immunofluorescence. Genetic knockdown via trim-away technology or pharmacological inhibition with RBN-2397 caused developmental delay/arrest at the 2-cell stage, impaired blastocyst formation, and defective ZGA. Mechanistically, PARP7 deficiency reduced chromatin accessibility (ATAC-seq), diminished H3K4ac and H3K27ac marks, and impaired RNA polymerase II transcription. Integrated proteomics and ADP-ribosylome analysis of late 2-cell embryos identified UHRF1 as a key PARP7 target, mono-ADP-ribosylated at lysines K30 and K31. This modification stabilized UHRF1 protein (cycloheximide chase), and UHRF1 overexpression partially rescued the transcriptional defects associated with ZGA from PARP7 inhibition. Our findings establish a metabolic-epigenetic axis wherein NAD&lt;sup&gt;+&lt;/sup&gt; metabolism, via PARP7-mediated ADP-ribosylation of UHRF1, regulates chromatin remodeling and transcriptional activation during ZGA, offering fundamental insights into early development.</w:t>
      </w:r>
    </w:p>
    <w:p>
      <w:pPr>
        <w:pStyle w:val="Heading3"/>
      </w:pPr>
      <w:r>
        <w:t>Brief summary</w:t>
      </w:r>
    </w:p>
    <w:p>
      <w:r>
        <w:t>Zygotic genome activation (ZGA) is a critical developmental milestone whose metabolic regulation remains unclear. This study identifies a pivotal role for Nicotinamide adenine dinucleotide (NAD&lt;sup&gt;+&lt;/sup&gt;) metabolism in regulating ZGA through poly(ADP&amp;#x2011;ribose) polymerase 7(PARP7)-mediated ADP-ribosylation. Using ultra-low input embryo metabolomics, we profiled metabolism from zygote to blastocyst, revealing a significant NAD&lt;sup&gt;+&lt;/sup&gt; decline at the 2-cell stage. This shift coincided with specific upregulation of the mono-ADP-ribosyltransferase PARP7, confirmed by transcriptomics, quantitative RT-PCR, western blot, and immunofluorescence.</w:t>
      </w:r>
    </w:p>
    <w:p>
      <w:pPr>
        <w:pStyle w:val="Heading2"/>
      </w:pPr>
      <w:r>
        <w:t>2. Alternative 3' UTRs and RNA-binding proteins Ewsr1b, HuR, and Syncrip organize sequential waves of translation to drive embryonic development.</w:t>
      </w:r>
    </w:p>
    <w:p>
      <w:r>
        <w:t>Source: PubMed</w:t>
      </w:r>
    </w:p>
    <w:p>
      <w:r>
        <w:t>Journal/server: Cell reports</w:t>
      </w:r>
    </w:p>
    <w:p>
      <w:r>
        <w:t>Date: 2026-06-15</w:t>
      </w:r>
    </w:p>
    <w:p>
      <w:r>
        <w:t>DOI: 10.1016/j.celrep.2026.117557</w:t>
      </w:r>
    </w:p>
    <w:p>
      <w:r>
        <w:t>Link: https://pubmed.ncbi.nlm.nih.gov/42287634/</w:t>
      </w:r>
    </w:p>
    <w:p>
      <w:pPr>
        <w:pStyle w:val="Heading3"/>
      </w:pPr>
      <w:r>
        <w:t>Abstract</w:t>
      </w:r>
    </w:p>
    <w:p>
      <w:r>
        <w:t>Eggs of many species accumulate thousands of dormant mRNAs that are translated after fertilization at specific times and locations to direct development. However, how embryos coordinate translation of these mRNAs remains unclear. In this study, we identify sequential waves of translation critical for proper development progression. The first wave occurs within 1 h and includes translation of ewsr1b mRNA that harbors a short 3' untranslated region (UTR) comprising 16 nucleotides. The resulting Ewsr1b protein triggers the second translation wave through binding cytoplasmic mRNAs, including pou5f3, which encodes a transcription factor promoting zygotic genome activation. In contrast, HuR and Syncrip repress translation until the first and second waves, respectively. ewsr1b mRNA that has a long 3' UTR is translated in the second wave, and the 3' UTR's length determines protein localization and function. Overall, our findings reveal previously unknown molecular principles that coordinate translation timings and protein functions to drive long-term, multilayered processes.</w:t>
      </w:r>
    </w:p>
    <w:p>
      <w:pPr>
        <w:pStyle w:val="Heading3"/>
      </w:pPr>
      <w:r>
        <w:t>Brief summary</w:t>
      </w:r>
    </w:p>
    <w:p>
      <w:r>
        <w:t>Eggs of many species accumulate thousands of dormant mRNAs that are translated after fertilization at specific times and locations to direct development. However, how embryos coordinate translation of these mRNAs remains unclear. In this study, we identify sequential waves of translation critical for proper development progression. The first wave occurs within 1 h and includes translation of ewsr1b mRNA that harbors a short 3' untranslated region (UTR) comprising 16 nucleotides.</w:t>
      </w:r>
    </w:p>
    <w:p>
      <w:pPr>
        <w:pStyle w:val="Heading2"/>
      </w:pPr>
      <w:r>
        <w:t>3. No title found</w:t>
      </w:r>
    </w:p>
    <w:p>
      <w:r>
        <w:t>Source: PubMed</w:t>
      </w:r>
    </w:p>
    <w:p>
      <w:r>
        <w:t>Journal/server: PubMed</w:t>
      </w:r>
    </w:p>
    <w:p>
      <w:r>
        <w:t>Date: 2026-06-15</w:t>
      </w:r>
    </w:p>
    <w:p>
      <w:r>
        <w:t xml:space="preserve">DOI: </w:t>
      </w:r>
    </w:p>
    <w:p>
      <w:r>
        <w:t>Link: https://pubmed.ncbi.nlm.nih.gov/42263938/</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