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2026-08-24 to 2026-08-31</w:t>
      </w:r>
    </w:p>
    <w:p>
      <w:r>
        <w:t>Number of papers found: 3</w:t>
      </w:r>
    </w:p>
    <w:p>
      <w:pPr>
        <w:pStyle w:val="Heading2"/>
      </w:pPr>
      <w:r>
        <w:t>1. Presumed recurrent monozygotic dichorionic diamniotic twinning following programmed single thawed euploid embryo transfer cycles: a case report.</w:t>
      </w:r>
    </w:p>
    <w:p>
      <w:r>
        <w:t>Source: PubMed</w:t>
      </w:r>
    </w:p>
    <w:p>
      <w:r>
        <w:t>Journal/server: Journal of assisted reproduction and genetics</w:t>
      </w:r>
    </w:p>
    <w:p>
      <w:r>
        <w:t>Date: 2026-08-31</w:t>
      </w:r>
    </w:p>
    <w:p>
      <w:r>
        <w:t>DOI: 10.1007/s10815-026-04010-0</w:t>
      </w:r>
    </w:p>
    <w:p>
      <w:r>
        <w:t>Link: https://pubmed.ncbi.nlm.nih.gov/42649364/</w:t>
      </w:r>
    </w:p>
    <w:p>
      <w:pPr>
        <w:pStyle w:val="Heading3"/>
      </w:pPr>
      <w:r>
        <w:t>Abstract</w:t>
      </w:r>
    </w:p>
    <w:p>
      <w:r>
        <w:t>To our knowledge, this is the first documented case of presumed recurrent monozygotic (MZT) dichorionic diamniotic (DCDA) twin gestations following programmed single thawed euploid embryo transfer (STEET) cycles in an individual who is herself a MZT twin. This report presents a 34-year-old nulligravid female patient and her 33-year-old male partner with unexplained infertility who underwent in vitro fertilization with preimplantation genetic testing for aneuploidy followed by subsequent embryo transfers, resulting in a presumed MZT DCDA twin gestation (STEET #1), a singleton gestation (STEET #2) and a confirmed MZT DCDA twin gestation (STEET#3). Monozygosity was confirmed for the second twin gestation (STEET #3) via single nucleotide polymorphism (SNP)-based cell-free DNA screening; the first twin gestation (STEET#1) is presumed to be MZT with high likelihood given that it resulted from a STEET performed in the setting of confirmed ovulation suppression. Chorionicity was confirmed via first-trimester ultrasound in both twin gestations (STEET #1 and #3). Nevertheless, this case shows that recurrent MZT DCDA twinning may be possible even after single blastocyst transfer and that observed chorionicity may not always conform to traditional twinning. Further research is needed to better understand the mechanisms and predisposing factors underlying MZT twinning as well as the development of DCDA twin gestations after single blastocyst transfers in assisted reproduction. Specific factors contributing to early embryo splitting may relate to the individual person, the embryo cohort or laboratory techniques. Informed consent counseling should include a discussion that MZT DCDA twinning remains a rare but real possibility despite single embryo transfer.</w:t>
      </w:r>
    </w:p>
    <w:p>
      <w:pPr>
        <w:pStyle w:val="Heading3"/>
      </w:pPr>
      <w:r>
        <w:t>Brief summary</w:t>
      </w:r>
    </w:p>
    <w:p>
      <w:r>
        <w:t>To our knowledge, this is the first documented case of presumed recurrent monozygotic (MZT) dichorionic diamniotic (DCDA) twin gestations following programmed single thawed euploid embryo transfer (STEET) cycles in an individual who is herself a MZT twin. This report presents a 34-year-old nulligravid female patient and her 33-year-old male partner with unexplained infertility who underwent in vitro fertilization with preimplantation genetic testing for aneuploidy followed by subsequent embryo transfers, resulting in a presumed MZT DCDA twin gestation (STEET #1), a singleton gestation (STEET #2) and a confirmed MZT DCDA twin gestation (STEET#3). Monozygosity was confirmed for the second twin gestation (STEET #3) via single nucleotide polymorphism (SNP)-based cell-free DNA screening; the first twin gestation (STEET#1) is presumed to be MZT with high likelihood given that it resulted from a STEET performed in the setting of confirmed ovulation suppression. Chorionicity was confirmed via first-trimester ultrasound in both twin gestations (STEET #1 and #3).</w:t>
      </w:r>
    </w:p>
    <w:p>
      <w:pPr>
        <w:pStyle w:val="Heading2"/>
      </w:pPr>
      <w:r>
        <w:t>2. &amp;#x3b1;-Ketoglutarate Enhances Epigenetic Remodeling and Developmental Competence in Porcine SCNT Embryos.</w:t>
      </w:r>
    </w:p>
    <w:p>
      <w:r>
        <w:t>Source: PubMed</w:t>
      </w:r>
    </w:p>
    <w:p>
      <w:r>
        <w:t>Journal/server: Reproduction (Cambridge, England)</w:t>
      </w:r>
    </w:p>
    <w:p>
      <w:r>
        <w:t>Date: 2026-08-31</w:t>
      </w:r>
    </w:p>
    <w:p>
      <w:r>
        <w:t>DOI: 10.1093/reprod/xaag103</w:t>
      </w:r>
    </w:p>
    <w:p>
      <w:r>
        <w:t>Link: https://pubmed.ncbi.nlm.nih.gov/42644820/</w:t>
      </w:r>
    </w:p>
    <w:p>
      <w:pPr>
        <w:pStyle w:val="Heading3"/>
      </w:pPr>
      <w:r>
        <w:t>Abstract</w:t>
      </w:r>
    </w:p>
    <w:p>
      <w:r>
        <w:t>Incomplete zygotic genome activation (ZGA) is a major barrier limiting the developmental competence of somatic cell nuclear transfer (SCNT) embryos in pigs. &amp;#x3b1;-Ketoglutarate (&amp;#x3b1;-KG), a key metabolic intermediate and cofactor for &amp;#x3b1;-KG-dependent dioxygenases, has been implicated in epigenetic remodeling during early embryogenesis. In this study, we investigated whether &amp;#x3b1;-KG supplementation could improve developmental potential and ZGA-associated events in porcine SCNT embryos. &amp;#x3b1;-KG treatment improved cleavage progression, increased blastocyst formation rates, increased total blastocyst cell number and ICM cell number, and reduced apoptosis and DNA damage. In addition, &amp;#x3b1;-KG improved microtubule organization and actin distribution during early cleavage stages, contributing to more coordinated cell division. Mechanistically, &amp;#x3b1;-KG increased global 5-hydroxymethylcytosine (5hmC) levels and elevated the abundance of activating histone marks, including H3K4me3 and H3K27ac. Expression of several ZGA-associated genes, including DUXA, ZSCAN4, EIF1A, and KLF17, was significantly increased following &amp;#x3b1;-KG supplementation, accompanied by enhanced nascent RNA synthesis. Notably, inhibition of TET enzymes with Bobcat339 attenuated the effects of &amp;#x3b1;-KG on 5hmC accumulation, transcriptional activity, and embryo development. Collectively, these findings indicate that &amp;#x3b1;-KG improves developmental competence and is associated with enhanced epigenetic remodeling in porcine SCNT embryos, at least in part through TET-associated pathways, providing a potential strategy for improving nuclear reprogramming efficiency in animal cloning.</w:t>
      </w:r>
    </w:p>
    <w:p>
      <w:pPr>
        <w:pStyle w:val="Heading3"/>
      </w:pPr>
      <w:r>
        <w:t>Brief summary</w:t>
      </w:r>
    </w:p>
    <w:p>
      <w:r>
        <w:t>Incomplete zygotic genome activation (ZGA) is a major barrier limiting the developmental competence of somatic cell nuclear transfer (SCNT) embryos in pigs. &amp;#x3b1;-Ketoglutarate (&amp;#x3b1;-KG), a key metabolic intermediate and cofactor for &amp;#x3b1;-KG-dependent dioxygenases, has been implicated in epigenetic remodeling during early embryogenesis. In this study, we investigated whether &amp;#x3b1;-KG supplementation could improve developmental potential and ZGA-associated events in porcine SCNT embryos. &amp;#x3b1;-KG treatment improved cleavage progression, increased blastocyst formation rates, increased total blastocyst cell number and ICM cell number, and reduced apoptosis and DNA damage.</w:t>
      </w:r>
    </w:p>
    <w:p>
      <w:pPr>
        <w:pStyle w:val="Heading2"/>
      </w:pPr>
      <w:r>
        <w:t>3. Spatio-temporally regulated maternal RNA decay factor essential for zebrafish development</w:t>
      </w:r>
    </w:p>
    <w:p>
      <w:r>
        <w:t>Source: bioRxiv</w:t>
      </w:r>
    </w:p>
    <w:p>
      <w:r>
        <w:t>Journal/server: bioRxiv</w:t>
      </w:r>
    </w:p>
    <w:p>
      <w:r>
        <w:t>Date: 2026-08-24</w:t>
      </w:r>
    </w:p>
    <w:p>
      <w:r>
        <w:t>DOI: 10.64898/2026.08.20.745964</w:t>
      </w:r>
    </w:p>
    <w:p>
      <w:r>
        <w:t>Link: https://doi.org/10.64898/2026.08.20.745964</w:t>
      </w:r>
    </w:p>
    <w:p>
      <w:pPr>
        <w:pStyle w:val="Heading3"/>
      </w:pPr>
      <w:r>
        <w:t>Abstract</w:t>
      </w:r>
    </w:p>
    <w:p>
      <w:r>
        <w:t>Maternal mRNA decay is essential for the Maternal-to-Zygotic Transition (MZT), yet its impact on spatial regulation has remained largely unexplored. We identify Cth1 as the first maternally encoded RNA-decay factor regulated in a spatiotemporal manner outside the germline in zebrafish, driven by conserved 3'UTR cis-elements. RfxCas13-dmediated depletion of maternal cth1 revealed early developmental defects that could not be assessed with SpyCas9 mutants due to infertility from impaired gametogenesis. Mechanistically, Cth1 acts independently of zygotic genome activation, recognizing AUrich motifs in maternal 3'UTRs to promote deadenylation and decay in a spatio-temporal manner; deletion of these motifs or depletion of Cth1 stabilizes both reporter and endogenous transcripts. These findings establish Cth1 as a key component of the maternal program and provide the first direct evidence that spatio-temporally regulated mRNA decay, outside the germline, contributes to early vertebrate development.</w:t>
      </w:r>
    </w:p>
    <w:p>
      <w:pPr>
        <w:pStyle w:val="Heading3"/>
      </w:pPr>
      <w:r>
        <w:t>Brief summary</w:t>
      </w:r>
    </w:p>
    <w:p>
      <w:r>
        <w:t>Maternal mRNA decay is essential for the Maternal-to-Zygotic Transition (MZT), yet its impact on spatial regulation has remained largely unexplored. We identify Cth1 as the first maternally encoded RNA-decay factor regulated in a spatiotemporal manner outside the germline in zebrafish, driven by conserved 3'UTR cis-elements. RfxCas13-dmediated depletion of maternal cth1 revealed early developmental defects that could not be assessed with SpyCas9 mutants due to infertility from impaired gametogenesis. Mechanistically, Cth1 acts independently of zygotic genome activation, recognizing AUrich motifs in maternal 3'UTRs to promote deadenylation and decay in a spatio-temporal manner; deletion of these motifs or depletion of Cth1 stabilizes both reporter and endogenous transcripts.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