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ZGA/MZT Paper Summary</w:t>
      </w:r>
    </w:p>
    <w:p>
      <w:r>
        <w:t>Date range: 2026-07-06 to 2026-07-13</w:t>
      </w:r>
    </w:p>
    <w:p>
      <w:r>
        <w:t>Number of papers found: 5</w:t>
      </w:r>
    </w:p>
    <w:p>
      <w:pPr>
        <w:pStyle w:val="Heading2"/>
      </w:pPr>
      <w:r>
        <w:t>1. Dissecting the expression pattern during embryonic development and unveiling sustained ZGA genes with oncogenic relevance.</w:t>
      </w:r>
    </w:p>
    <w:p>
      <w:r>
        <w:t>Source: PubMed</w:t>
      </w:r>
    </w:p>
    <w:p>
      <w:r>
        <w:t>Journal/server: BMC genomics</w:t>
      </w:r>
    </w:p>
    <w:p>
      <w:r>
        <w:t>Date: 2026-07-13</w:t>
      </w:r>
    </w:p>
    <w:p>
      <w:r>
        <w:t>DOI: 10.1186/s12864-026-13046-6</w:t>
      </w:r>
    </w:p>
    <w:p>
      <w:r>
        <w:t>Link: https://pubmed.ncbi.nlm.nih.gov/42436369/</w:t>
      </w:r>
    </w:p>
    <w:p>
      <w:pPr>
        <w:pStyle w:val="Heading3"/>
      </w:pPr>
      <w:r>
        <w:t>Abstract</w:t>
      </w:r>
    </w:p>
    <w:p>
      <w:r>
        <w:t>Zygotic genome activation (ZGA) represents a pivotal transition in early embryonic development, marking the onset of gene expression following fertilization. Despite its fundamental importance, precisely determining the timing and identifying the key genes involved in ZGA remains a significant challenge. Based on time-course patterns from RNA-seq data spanning all developmental stages, we proposed a computational framework to identify ZGA genes and the onset of ZGA across diverse species. In mice, we identified 690 ZGA-associated genes, 119 of which were previously uncharacterized. Furthermore, we defined a pivotal gene subset termed Sustained ZGA (S-ZGA) genes, which are activated from ZGA and maintain sustained expression throughout subsequent development. Epigenetic analyses revealed that promoter accessibility and H3K4me3 enrichment are primary regulatory mechanisms for S-ZGA genes. Notably, these genes exhibit strong enrichment in tumorigenesis and metastatic processes. This study establishes a computational framework that operates independently of prior knowledge to identify ZGA genes and precisely determine ZGA onset timing across diverse species, and defines a critical subset termed Sustained ZGA (S-ZGA) genes, which are potentially associated with tumorigenesis and metastatic processes. These findings provide a novel perspective on the molecular mechanisms underlying both normal development and cancer.</w:t>
      </w:r>
    </w:p>
    <w:p>
      <w:pPr>
        <w:pStyle w:val="Heading3"/>
      </w:pPr>
      <w:r>
        <w:t>Brief summary</w:t>
      </w:r>
    </w:p>
    <w:p>
      <w:r>
        <w:t>Zygotic genome activation (ZGA) represents a pivotal transition in early embryonic development, marking the onset of gene expression following fertilization. Despite its fundamental importance, precisely determining the timing and identifying the key genes involved in ZGA remains a significant challenge. Based on time-course patterns from RNA-seq data spanning all developmental stages, we proposed a computational framework to identify ZGA genes and the onset of ZGA across diverse species. In mice, we identified 690 ZGA-associated genes, 119 of which were previously uncharacterized.</w:t>
      </w:r>
    </w:p>
    <w:p>
      <w:pPr>
        <w:pStyle w:val="Heading2"/>
      </w:pPr>
      <w:r>
        <w:t>2. Decoding stage-specific functions of PRC2 in early embryogenesis uncovers roles in preimplantation development and primordial germ cell fate.</w:t>
      </w:r>
    </w:p>
    <w:p>
      <w:r>
        <w:t>Source: PubMed</w:t>
      </w:r>
    </w:p>
    <w:p>
      <w:r>
        <w:t>Journal/server: Nature cell biology</w:t>
      </w:r>
    </w:p>
    <w:p>
      <w:r>
        <w:t>Date: 2026-07-13</w:t>
      </w:r>
    </w:p>
    <w:p>
      <w:r>
        <w:t>DOI: 10.1038/s41556-026-02002-x</w:t>
      </w:r>
    </w:p>
    <w:p>
      <w:r>
        <w:t>Link: https://pubmed.ncbi.nlm.nih.gov/42432166/</w:t>
      </w:r>
    </w:p>
    <w:p>
      <w:pPr>
        <w:pStyle w:val="Heading3"/>
      </w:pPr>
      <w:r>
        <w:t>Abstract</w:t>
      </w:r>
    </w:p>
    <w:p>
      <w:r>
        <w:t>Early embryogenesis is accompanied by dynamic epigenetic modifications. Although such dynamics are important in cell intrinsic regulation of gene expression, their extrinsic roles in mediating intercellular communication during early embryogenesis are less understood. Here, using the dTAG system, we reveal previously underappreciated stage-specific functions of PRC2 in regulating preimplantation and primordial germ cell (PGC) development. We demonstrate that PRC2 plays important roles in regulating maternal-to-zygotic transition and epiblast formation. By systematically analysing H3K27me3 and H3K4me3 dynamics, we redefine the timing of bivalency establishment and uncover a stepwise mechanism governing bivalency acquisition in early embryogenesis. Moreover, PRC2 regulates proper PGC numbers in the epiblast by controlling Esrrb expression in the extraembryonic ectoderm. Thus, our study uncovers a previously unknown cell-autonomous function of PRC2 in preimplantation development and its non-cell-autonomous impact in PGC number regulation, both through interplays between epigenetic-epigenetic and epigenetic-transcription factors networks.</w:t>
      </w:r>
    </w:p>
    <w:p>
      <w:pPr>
        <w:pStyle w:val="Heading3"/>
      </w:pPr>
      <w:r>
        <w:t>Brief summary</w:t>
      </w:r>
    </w:p>
    <w:p>
      <w:r>
        <w:t>Early embryogenesis is accompanied by dynamic epigenetic modifications. Although such dynamics are important in cell intrinsic regulation of gene expression, their extrinsic roles in mediating intercellular communication during early embryogenesis are less understood. Here, using the dTAG system, we reveal previously underappreciated stage-specific functions of PRC2 in regulating preimplantation and primordial germ cell (PGC) development. We demonstrate that PRC2 plays important roles in regulating maternal-to-zygotic transition and epiblast formation.</w:t>
      </w:r>
    </w:p>
    <w:p>
      <w:pPr>
        <w:pStyle w:val="Heading2"/>
      </w:pPr>
      <w:r>
        <w:t>3. A maternal Polycomb imprint is maintained in early Drosophila development through lower-order methylation states.</w:t>
      </w:r>
    </w:p>
    <w:p>
      <w:r>
        <w:t>Source: PubMed</w:t>
      </w:r>
    </w:p>
    <w:p>
      <w:r>
        <w:t>Journal/server: Cell reports</w:t>
      </w:r>
    </w:p>
    <w:p>
      <w:r>
        <w:t>Date: 2026-07-13</w:t>
      </w:r>
    </w:p>
    <w:p>
      <w:r>
        <w:t>DOI: 10.1016/j.celrep.2026.117679</w:t>
      </w:r>
    </w:p>
    <w:p>
      <w:r>
        <w:t>Link: https://pubmed.ncbi.nlm.nih.gov/42424139/</w:t>
      </w:r>
    </w:p>
    <w:p>
      <w:pPr>
        <w:pStyle w:val="Heading3"/>
      </w:pPr>
      <w:r>
        <w:t>Abstract</w:t>
      </w:r>
    </w:p>
    <w:p>
      <w:r>
        <w:t>Polycomb group (PcG) proteins regulate embryonic epigenetic states by facilitating mono-, di-, and tri-methylation of H3 lysine 27 (H3K27me1/2/3). For the zygote to inherit a maternal H3K27 methylation state, PcG modifications established during oogenesis must survive until zygotic genome activation. Whether parental PcG states persist through Drosophila embryogenesis remains unclear. Here, we combine stochastic modeling with in vivo experiments to define the fate of maternal H3K27 methylation. We find that the inherited PcG state consists of broad, non-canonical H3K27me2/3 domains and that H3K27me3 is not maintained through cleavage divisions but lost and later re-established within canonical PcG domains. In contrast, H3K27me2 persists in cis on maternal chromatin. Modeling and genetic analyses indicate that this retention is consistent with Polycomb repressive complex 2 (PRC2) allostery-dependent maintenance rather than non-specific, nucleation-independent methylation. These findings suggest that the early embryo inherits a maternal H3K27 landscape that persists primarily as H3K27me2 and is later remodeled into canonical H3K27me3 domains.</w:t>
      </w:r>
    </w:p>
    <w:p>
      <w:pPr>
        <w:pStyle w:val="Heading3"/>
      </w:pPr>
      <w:r>
        <w:t>Brief summary</w:t>
      </w:r>
    </w:p>
    <w:p>
      <w:r>
        <w:t>Polycomb group (PcG) proteins regulate embryonic epigenetic states by facilitating mono-, di-, and tri-methylation of H3 lysine 27 (H3K27me1/2/3). For the zygote to inherit a maternal H3K27 methylation state, PcG modifications established during oogenesis must survive until zygotic genome activation. Whether parental PcG states persist through Drosophila embryogenesis remains unclear. Here, we combine stochastic modeling with in vivo experiments to define the fate of maternal H3K27 methylation.</w:t>
      </w:r>
    </w:p>
    <w:p>
      <w:pPr>
        <w:pStyle w:val="Heading2"/>
      </w:pPr>
      <w:r>
        <w:t>4. A barrier to human embryogenesis involves dysregulated 3D genome reprogramming and ZGA collapse.</w:t>
      </w:r>
    </w:p>
    <w:p>
      <w:r>
        <w:t>Source: PubMed</w:t>
      </w:r>
    </w:p>
    <w:p>
      <w:r>
        <w:t>Journal/server: Communications biology</w:t>
      </w:r>
    </w:p>
    <w:p>
      <w:r>
        <w:t>Date: 2026-07-13</w:t>
      </w:r>
    </w:p>
    <w:p>
      <w:r>
        <w:t>DOI: 10.1038/s42003-026-10614-0</w:t>
      </w:r>
    </w:p>
    <w:p>
      <w:r>
        <w:t>Link: https://pubmed.ncbi.nlm.nih.gov/42414531/</w:t>
      </w:r>
    </w:p>
    <w:p>
      <w:pPr>
        <w:pStyle w:val="Heading3"/>
      </w:pPr>
      <w:r>
        <w:t>Abstract</w:t>
      </w:r>
    </w:p>
    <w:p>
      <w:r>
        <w:t>Early embryonic arrest (EEA) is a critical impediment in assisted reproductive technology, leading to lack of viable embryos. Despite its prevalence, the molecular basis of EEA remains elusive, and the contribution of 3D genome reorganization to this arrest remains largely unexplored. Here, we present an integrated analysis of chromatin architecture and transcriptome dynamics in arrested human embryos during zygotic genome activation (ZGA) stage. Our results reveal extensive chromosomal compartment switching, significant alterations in topologically associating domains (TADs) features, and disrupted chromatin looping in arrested embryos. It suggests that 3D genome reorganization and ZGA failure occur in arrested embryos, marked by reduced abundance of ZGA-critical genes, precocious activation of late-stage developmental pathways, suppression of RNA processing and ribosome biogenesis, and compromised energy metabolism. Additionally, we hypothesize that several transcription factors, including KLF17 and several ZNF family members, serve as regulators in the observed structural or functional changes during developmental arrest. Collectively, our findings suggest that defective 3D genome reprogramming and transcriptomic dysregulation during ZGA are associated with human embryonic arrest at the eight-cell stage. This study advances our understanding of human preimplantation development and its development failures by providing a valuable resource and a conceptual framework for future investigations.</w:t>
      </w:r>
    </w:p>
    <w:p>
      <w:pPr>
        <w:pStyle w:val="Heading3"/>
      </w:pPr>
      <w:r>
        <w:t>Brief summary</w:t>
      </w:r>
    </w:p>
    <w:p>
      <w:r>
        <w:t>Early embryonic arrest (EEA) is a critical impediment in assisted reproductive technology, leading to lack of viable embryos. Despite its prevalence, the molecular basis of EEA remains elusive, and the contribution of 3D genome reorganization to this arrest remains largely unexplored. Here, we present an integrated analysis of chromatin architecture and transcriptome dynamics in arrested human embryos during zygotic genome activation (ZGA) stage. Our results reveal extensive chromosomal compartment switching, significant alterations in topologically associating domains (TADs) features, and disrupted chromatin looping in arrested embryos.</w:t>
      </w:r>
    </w:p>
    <w:p>
      <w:pPr>
        <w:pStyle w:val="Heading2"/>
      </w:pPr>
      <w:r>
        <w:t>5. Single-nucleotide RNA m&lt;sup&gt;6&lt;/sup&gt;A mapping in bovine preimplantation development reveals site-specific regulation of RPL12 at zygotic genome activation.</w:t>
      </w:r>
    </w:p>
    <w:p>
      <w:r>
        <w:t>Source: PubMed</w:t>
      </w:r>
    </w:p>
    <w:p>
      <w:r>
        <w:t>Journal/server: Cell reports</w:t>
      </w:r>
    </w:p>
    <w:p>
      <w:r>
        <w:t>Date: 2026-07-13</w:t>
      </w:r>
    </w:p>
    <w:p>
      <w:r>
        <w:t>DOI: 10.1016/j.celrep.2026.117635</w:t>
      </w:r>
    </w:p>
    <w:p>
      <w:r>
        <w:t>Link: https://pubmed.ncbi.nlm.nih.gov/42406595/</w:t>
      </w:r>
    </w:p>
    <w:p>
      <w:pPr>
        <w:pStyle w:val="Heading3"/>
      </w:pPr>
      <w:r>
        <w:t>Abstract</w:t>
      </w:r>
    </w:p>
    <w:p>
      <w:r>
        <w:t>RNA N&lt;sup&gt;6&lt;/sup&gt;-methyladenosine (m&lt;sup&gt;6&lt;/sup&gt;A) is a key regulator of gene expression during early embryogenesis. Using SAC-seq (m&lt;sup&gt;6&lt;/sup&gt;A-selective allyl chemical labeling and sequencing), an antibody-independent m&lt;sup&gt;6&lt;/sup&gt;A profiling method, we generated the first single-nucleotide-resolution m&lt;sup&gt;6&lt;/sup&gt;A map of bovine oocytes and preimplantation embryos. We observed both coordinated and uncoupled relationships between m&lt;sup&gt;6&lt;/sup&gt;A modification and expression of protein-coding and noncoding genes. Integrative analysis of the transcriptome, m&lt;sup&gt;6&lt;/sup&gt;A epitranscriptome, and translatome revealed dynamic m&lt;sup&gt;6&lt;/sup&gt;A remodeling, particularly in ribosomal protein genes. Functional interrogation of a specific m&lt;sup&gt;6&lt;/sup&gt;A site within the RPL12 transcript demonstrated that loss of this modification reduces protein synthesis, disrupts translation-related gene expression, impairs zygotic genome activation, and compromises blastocyst formation. Notably, supplementation with wild-type RPL12 mRNA failed to rescue developmental arrest, suggesting that m&lt;sup&gt;6&lt;/sup&gt;A regulates RPL12 function beyond transcript abundance. Overall, these findings provide a valuable single-nucleotide-resolution resource of m&lt;sup&gt;6&lt;/sup&gt;A dynamics in mammalian embryogenesis and uncover a site-specific mechanism by which m&lt;sup&gt;6&lt;/sup&gt;A regulates translation and developmental competence in early embryos.</w:t>
      </w:r>
    </w:p>
    <w:p>
      <w:pPr>
        <w:pStyle w:val="Heading3"/>
      </w:pPr>
      <w:r>
        <w:t>Brief summary</w:t>
      </w:r>
    </w:p>
    <w:p>
      <w:r>
        <w:t>RNA N&lt;sup&gt;6&lt;/sup&gt;-methyladenosine (m&lt;sup&gt;6&lt;/sup&gt;A) is a key regulator of gene expression during early embryogenesis. Using SAC-seq (m&lt;sup&gt;6&lt;/sup&gt;A-selective allyl chemical labeling and sequencing), an antibody-independent m&lt;sup&gt;6&lt;/sup&gt;A profiling method, we generated the first single-nucleotide-resolution m&lt;sup&gt;6&lt;/sup&gt;A map of bovine oocytes and preimplantation embryos. We observed both coordinated and uncoupled relationships between m&lt;sup&gt;6&lt;/sup&gt;A modification and expression of protein-coding and noncoding genes. Integrative analysis of the transcriptome, m&lt;sup&gt;6&lt;/sup&gt;A epitranscriptome, and translatome revealed dynamic m&lt;sup&gt;6&lt;/sup&gt;A remodeling, particularly in ribosomal protein genes.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