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2026-07-20 to 2026-07-27</w:t>
      </w:r>
    </w:p>
    <w:p>
      <w:r>
        <w:t>Number of papers found: 3</w:t>
      </w:r>
    </w:p>
    <w:p>
      <w:pPr>
        <w:pStyle w:val="Heading2"/>
      </w:pPr>
      <w:r>
        <w:t>1. Single-blastomere transcriptomics identifies NR5A2-associated metabolic genes during porcine zygotic genome activation.</w:t>
      </w:r>
    </w:p>
    <w:p>
      <w:r>
        <w:t>Source: PubMed</w:t>
      </w:r>
    </w:p>
    <w:p>
      <w:r>
        <w:t>Journal/server: Theriogenology</w:t>
      </w:r>
    </w:p>
    <w:p>
      <w:r>
        <w:t>Date: 2026-07-27</w:t>
      </w:r>
    </w:p>
    <w:p>
      <w:r>
        <w:t>DOI: 10.1016/j.theriogenology.2026.118102</w:t>
      </w:r>
    </w:p>
    <w:p>
      <w:r>
        <w:t>Link: https://pubmed.ncbi.nlm.nih.gov/42497609/</w:t>
      </w:r>
    </w:p>
    <w:p>
      <w:pPr>
        <w:pStyle w:val="Heading3"/>
      </w:pPr>
      <w:r>
        <w:t>Abstract</w:t>
      </w:r>
    </w:p>
    <w:p>
      <w:r>
        <w:t>NR5A2 is a key regulator of zygotic genome activation (ZGA), which primarily takes place at the 4-8-cell stage in porcine embryos; however, its associated metabolic programs remain largely uncharacterized. In this study, single-blastomere RNA sequencing was performed using Smart-seq2 in 8-cell-stage porcine embryos derived from in vitro fertilization (IVF) or somatic cell nuclear transfer (SCNT). Based on the bimodal expression pattern of NR5A2, individual blastomeres were categorized into NR5A2-active and NR5A2-inactive groups. Differential expression analysis identified 46 differentially expressed genes (DEGs) in IVF embryos, which were mainly enriched in steroid hormone and lipid metabolism. In SCNT embryos, the top-ranked DEGs were functionally associated with mitochondrial respiration and ribosome biogenesis. A total of 14 NR5A2-associated DEGs were consistently identified in both embryo types and clustered into three core metabolic modules: glycolysis and energy metabolism (represented by HK2), lipid and steroid metabolism (including STAR, LIPG, PLCD1 and DLC1), and inositol metabolism (represented by MIOX). Single-blastomere qRT-PCR in parthenogenetic embryos further validated the bimodal expression of NR5A2, HK2, STAR and MIOX. Collectively, this study reveals an NR5A2-associated metabolic transcriptional signature in blastomeres of both IVF and SCNT embryos. These findings identify candidate metabolic genes that may inform future optimization of in vitro culture media to enhance the developmental competence of porcine embryos and warrant subsequent functional validation.</w:t>
      </w:r>
    </w:p>
    <w:p>
      <w:pPr>
        <w:pStyle w:val="Heading3"/>
      </w:pPr>
      <w:r>
        <w:t>Brief summary</w:t>
      </w:r>
    </w:p>
    <w:p>
      <w:r>
        <w:t>NR5A2 is a key regulator of zygotic genome activation (ZGA), which primarily takes place at the 4-8-cell stage in porcine embryos; however, its associated metabolic programs remain largely uncharacterized. In this study, single-blastomere RNA sequencing was performed using Smart-seq2 in 8-cell-stage porcine embryos derived from in vitro fertilization (IVF) or somatic cell nuclear transfer (SCNT). Based on the bimodal expression pattern of NR5A2, individual blastomeres were categorized into NR5A2-active and NR5A2-inactive groups. Differential expression analysis identified 46 differentially expressed genes (DEGs) in IVF embryos, which were mainly enriched in steroid hormone and lipid metabolism.</w:t>
      </w:r>
    </w:p>
    <w:p>
      <w:pPr>
        <w:pStyle w:val="Heading2"/>
      </w:pPr>
      <w:r>
        <w:t>2. Integrated Single-cell Proteomic and Transcriptomic Landscape of Mouse Folliculogenesis.</w:t>
      </w:r>
    </w:p>
    <w:p>
      <w:r>
        <w:t>Source: PubMed</w:t>
      </w:r>
    </w:p>
    <w:p>
      <w:r>
        <w:t>Journal/server: Genomics, proteomics &amp;amp; bioinformatics</w:t>
      </w:r>
    </w:p>
    <w:p>
      <w:r>
        <w:t>Date: 2026-07-27</w:t>
      </w:r>
    </w:p>
    <w:p>
      <w:r>
        <w:t>DOI: 10.1093/gpbjnl/qzag068</w:t>
      </w:r>
    </w:p>
    <w:p>
      <w:r>
        <w:t>Link: https://pubmed.ncbi.nlm.nih.gov/42489541/</w:t>
      </w:r>
    </w:p>
    <w:p>
      <w:pPr>
        <w:pStyle w:val="Heading3"/>
      </w:pPr>
      <w:r>
        <w:t>Abstract</w:t>
      </w:r>
    </w:p>
    <w:p>
      <w:r>
        <w:t>Folliculogenesis is a complex process essential to female fertility, characterized by multifaceted communication between oocytes and granulosa cells (GCs). While transcriptional regulation during folliculogenesis has been extensively studied, the proteomic landscape remains largely unexplored. Here, we profiled both the proteomic and transcriptomic landscapes of single oocytes and their surrounding mini-bulk GCs across four consecutive stages, from secondary to preovulatory follicles. Integrated dual-omics analysis provided a high-resolution characterization of cell type-specific transcriptional and proteomic changes. Proteomic profiling revealed coordinated metabolic programs, in which oocytes shift toward lipid storage while GCs enhance energy production and steroidogenic metabolism to support oocyte maturation. These metabolic changes in oocytes were accompanied by dynamic remodeling of mitochondrial organization. In addition, we identified novel transcription factors involved in regulating folliculogenesis, as well as a SATB1-centered regulatory network that may reflect preparatory chromatin remodeling preceding zygotic genome activation. Furthermore, GDF9-BMPR2 signaling progressively increased from the secondary stage to the preovulatory stage, indicating strengthened intercellular communication between oocytes and GCs. Together, these findings provide mechanistic insights into oocyte development and follicle growth, with potential implications for novel fertility treatments and diagnostic strategies.</w:t>
      </w:r>
    </w:p>
    <w:p>
      <w:pPr>
        <w:pStyle w:val="Heading3"/>
      </w:pPr>
      <w:r>
        <w:t>Brief summary</w:t>
      </w:r>
    </w:p>
    <w:p>
      <w:r>
        <w:t>Folliculogenesis is a complex process essential to female fertility, characterized by multifaceted communication between oocytes and granulosa cells (GCs). While transcriptional regulation during folliculogenesis has been extensively studied, the proteomic landscape remains largely unexplored. Here, we profiled both the proteomic and transcriptomic landscapes of single oocytes and their surrounding mini-bulk GCs across four consecutive stages, from secondary to preovulatory follicles. Integrated dual-omics analysis provided a high-resolution characterization of cell type-specific transcriptional and proteomic changes.</w:t>
      </w:r>
    </w:p>
    <w:p>
      <w:pPr>
        <w:pStyle w:val="Heading2"/>
      </w:pPr>
      <w:r>
        <w:t>3. No title found</w:t>
      </w:r>
    </w:p>
    <w:p>
      <w:r>
        <w:t>Source: PubMed</w:t>
      </w:r>
    </w:p>
    <w:p>
      <w:r>
        <w:t>Journal/server: PubMed</w:t>
      </w:r>
    </w:p>
    <w:p>
      <w:r>
        <w:t>Date: 2026-07-27</w:t>
      </w:r>
    </w:p>
    <w:p>
      <w:r>
        <w:t xml:space="preserve">DOI: </w:t>
      </w:r>
    </w:p>
    <w:p>
      <w:r>
        <w:t>Link: https://pubmed.ncbi.nlm.nih.gov/42486355/</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