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Weekly ZGA/MZT Paper Summary</w:t>
      </w:r>
    </w:p>
    <w:p>
      <w:r>
        <w:t>Date range: 2026-10-12 to 2026-10-19</w:t>
      </w:r>
    </w:p>
    <w:p>
      <w:r>
        <w:t>Number of papers found: 6</w:t>
      </w:r>
    </w:p>
    <w:p>
      <w:pPr>
        <w:pStyle w:val="Heading2"/>
      </w:pPr>
      <w:r>
        <w:t>1. Sequential TPRX1 and HERVL activation delineates a progression toward the totipotent-like state.</w:t>
      </w:r>
    </w:p>
    <w:p>
      <w:r>
        <w:t>Source: PubMed</w:t>
      </w:r>
    </w:p>
    <w:p>
      <w:r>
        <w:t>Journal/server: Cell reports</w:t>
      </w:r>
    </w:p>
    <w:p>
      <w:r>
        <w:t>Date: 2026-10-19</w:t>
      </w:r>
    </w:p>
    <w:p>
      <w:r>
        <w:t>DOI: 10.1016/j.celrep.2026.118163</w:t>
      </w:r>
    </w:p>
    <w:p>
      <w:r>
        <w:t>Link: https://pubmed.ncbi.nlm.nih.gov/42893511/</w:t>
      </w:r>
    </w:p>
    <w:p>
      <w:pPr>
        <w:pStyle w:val="Heading3"/>
      </w:pPr>
      <w:r>
        <w:t>Abstract</w:t>
      </w:r>
    </w:p>
    <w:p>
      <w:r>
        <w:t>The in vitro induction of 8-cell-like cells (8CLCs) from human pluripotent stem cells (hPSCs) provides a model to study the regulatory principles of totipotency and zygotic genome activation (ZGA). However, the cellular dynamics underlying 8CLC emergence remain poorly understood. Here, we generate a TPRX1-EGFP/HERVL-tdTomato dual-reporter hPSC line to resolve the stepwise acquisition of totipotent-like identity. We show that 8CLC induction follows an ordered trajectory in which TPRX1 activation precedes the emergence of TPRX1&lt;sup&gt;+&lt;/sup&gt;HERVL&lt;sup&gt;+&lt;/sup&gt; cells, which most closely resemble the in vivo 8-cell embryo transcriptionally. Single-cell transcriptomics and time-resolved flow cytometry further define a continuous transition from the primed state through a TPRX1&lt;sup&gt;+&lt;/sup&gt; intermediate to the HERVL&lt;sup&gt;+&lt;/sup&gt; 8CLC state. CRISPRi and RNA-directed perturbations support functional contributions of HERVL elements and HERVL-derived RNA to this transition, while potential locus-dependent mechanisms remain unresolved. Together, these findings establish sequential TPRX1 and HERVL activation as a defining feature of human 8CLC induction.</w:t>
      </w:r>
    </w:p>
    <w:p>
      <w:pPr>
        <w:pStyle w:val="Heading3"/>
      </w:pPr>
      <w:r>
        <w:t>Brief summary</w:t>
      </w:r>
    </w:p>
    <w:p>
      <w:r>
        <w:t>The in vitro induction of 8-cell-like cells (8CLCs) from human pluripotent stem cells (hPSCs) provides a model to study the regulatory principles of totipotency and zygotic genome activation (ZGA). However, the cellular dynamics underlying 8CLC emergence remain poorly understood. Here, we generate a TPRX1-EGFP/HERVL-tdTomato dual-reporter hPSC line to resolve the stepwise acquisition of totipotent-like identity. We show that 8CLC induction follows an ordered trajectory in which TPRX1 activation precedes the emergence of TPRX1&lt;sup&gt;+&lt;/sup&gt;HERVL&lt;sup&gt;+&lt;/sup&gt; cells, which most closely resemble the in vivo 8-cell embryo transcriptionally.</w:t>
      </w:r>
    </w:p>
    <w:p>
      <w:pPr>
        <w:pStyle w:val="Heading2"/>
      </w:pPr>
      <w:r>
        <w:t>2. Altered sperm DNA methylation provides an epigenetic route from overweight and older men to intergenerational disease transmission.</w:t>
      </w:r>
    </w:p>
    <w:p>
      <w:r>
        <w:t>Source: PubMed</w:t>
      </w:r>
    </w:p>
    <w:p>
      <w:r>
        <w:t>Journal/server: Proceedings of the National Academy of Sciences of the United States of America</w:t>
      </w:r>
    </w:p>
    <w:p>
      <w:r>
        <w:t>Date: 2026-10-19</w:t>
      </w:r>
    </w:p>
    <w:p>
      <w:r>
        <w:t>DOI: 10.1073/pnas.2534171123</w:t>
      </w:r>
    </w:p>
    <w:p>
      <w:r>
        <w:t>Link: https://pubmed.ncbi.nlm.nih.gov/42886706/</w:t>
      </w:r>
    </w:p>
    <w:p>
      <w:pPr>
        <w:pStyle w:val="Heading3"/>
      </w:pPr>
      <w:r>
        <w:t>Abstract</w:t>
      </w:r>
    </w:p>
    <w:p>
      <w:r>
        <w:t>The occurrence of childhood neurodevelopmental disorders has been steadily increasing for decades, yet we have little understanding of modes of inheritance implicated in these diseases. Epidemiology studies have revealed an association between an elevated paternal Body Mass Index (BMI) and age as factors implicated in increased risk for neurodevelopmental disorders in children. Epigenetic regulation of gene expression by DNA methylation at cytosines is susceptible to environmental, diet, and lifestyle changes. Yet, whether a man's BMI and age influence the sperm methylome and potentially impact offspring development remains unresolved. Using MethylC capture sequencing, we identified over 38,000 differentially methylated CpGs in the sperm of men with an elevated BMI, with overlap occurring in regions associated with advanced paternal age. These were enriched for neural gene and disease ontologies. Differentially methylated regions localized to transposable elements that can act as active enhancers during human zygotic genome activation, and at gene promoters for early lineage specification. These results suggest that sperm methylome alterations that are linked to an elevated BMI may influence key embryonic transcriptional processes, notably those associated with trophectoderm and placental development.</w:t>
      </w:r>
    </w:p>
    <w:p>
      <w:pPr>
        <w:pStyle w:val="Heading3"/>
      </w:pPr>
      <w:r>
        <w:t>Brief summary</w:t>
      </w:r>
    </w:p>
    <w:p>
      <w:r>
        <w:t>The occurrence of childhood neurodevelopmental disorders has been steadily increasing for decades, yet we have little understanding of modes of inheritance implicated in these diseases. Epidemiology studies have revealed an association between an elevated paternal Body Mass Index (BMI) and age as factors implicated in increased risk for neurodevelopmental disorders in children. Epigenetic regulation of gene expression by DNA methylation at cytosines is susceptible to environmental, diet, and lifestyle changes. Yet, whether a man's BMI and age influence the sperm methylome and potentially impact offspring development remains unresolved.</w:t>
      </w:r>
    </w:p>
    <w:p>
      <w:pPr>
        <w:pStyle w:val="Heading2"/>
      </w:pPr>
      <w:r>
        <w:t>3. No title found</w:t>
      </w:r>
    </w:p>
    <w:p>
      <w:r>
        <w:t>Source: PubMed</w:t>
      </w:r>
    </w:p>
    <w:p>
      <w:r>
        <w:t>Journal/server: PubMed</w:t>
      </w:r>
    </w:p>
    <w:p>
      <w:r>
        <w:t>Date: 2026-10-19</w:t>
      </w:r>
    </w:p>
    <w:p>
      <w:r>
        <w:t xml:space="preserve">DOI: </w:t>
      </w:r>
    </w:p>
    <w:p>
      <w:r>
        <w:t>Link: https://pubmed.ncbi.nlm.nih.gov/42880646/</w:t>
      </w:r>
    </w:p>
    <w:p>
      <w:pPr>
        <w:pStyle w:val="Heading3"/>
      </w:pPr>
      <w:r>
        <w:t>Abstract</w:t>
      </w:r>
    </w:p>
    <w:p>
      <w:r>
        <w:t>No abstract available.</w:t>
      </w:r>
    </w:p>
    <w:p>
      <w:pPr>
        <w:pStyle w:val="Heading3"/>
      </w:pPr>
      <w:r>
        <w:t>Brief summary</w:t>
      </w:r>
    </w:p>
    <w:p>
      <w:r>
        <w:t>No abstract was available. Review the linked paper manually.</w:t>
      </w:r>
    </w:p>
    <w:p>
      <w:pPr>
        <w:pStyle w:val="Heading2"/>
      </w:pPr>
      <w:r>
        <w:t>4. Plant embryogenesis from zygotic genome activation to seed maturation: Comparative mechanisms and engineering opportunities.</w:t>
      </w:r>
    </w:p>
    <w:p>
      <w:r>
        <w:t>Source: PubMed</w:t>
      </w:r>
    </w:p>
    <w:p>
      <w:r>
        <w:t>Journal/server: Plant science : an international journal of experimental plant biology</w:t>
      </w:r>
    </w:p>
    <w:p>
      <w:r>
        <w:t>Date: 2026-10-19</w:t>
      </w:r>
    </w:p>
    <w:p>
      <w:r>
        <w:t>DOI: 10.1016/j.plantsci.2026.113525</w:t>
      </w:r>
    </w:p>
    <w:p>
      <w:r>
        <w:t>Link: https://pubmed.ncbi.nlm.nih.gov/42880594/</w:t>
      </w:r>
    </w:p>
    <w:p>
      <w:pPr>
        <w:pStyle w:val="Heading3"/>
      </w:pPr>
      <w:r>
        <w:t>Abstract</w:t>
      </w:r>
    </w:p>
    <w:p>
      <w:r>
        <w:t>Plant embryogenesis converts a zygote into a patterned, maturation-competent embryo. Since the major syntheses published in 2019 and 2021, allele-resolved transcriptomics, single-cell and spatial profiling, and three-dimensional imaging have revealed substantial variation in zygotic genome activation and cleavage geometry across angiosperms, challenging models derived solely from Arabidopsis. Here, we organize recent advances along a comparative zygote-to-seed trajectory and ask how conserved regulatory modules are redeployed across lineages, how early patterning is coupled to seed maturation, and which developmental transitions can be engineered in crops. We first compare the maternal-to-zygotic transition and associated chromatin-state changes, explicitly distinguishing observations from hypotheses about their evolutionary drivers. We then examine how PIN-FORMED (PIN)-dependent auxin transport, local auxin biosynthesis, membrane and peptide signaling, and WUSCHEL-RELATED HOMEOBOX (WOX)-family transcription factors establish embryonic axes and meristems. Next, we connect these early programs to source-sink relations, nutrient partitioning, proteostasis, and hormone-redox control during seed maturation, while separating maturation from dormancy release and germination. Finally, we assess how spatial multi-omics, live imaging, CRISPR activation, and synthetic apomixis can interrogate or engineer these transitions. This framework identifies conserved modules, lineage-specific solutions, and major evidence gaps that must be resolved before embryogenesis can be predictably manipulated for crop improvement.</w:t>
      </w:r>
    </w:p>
    <w:p>
      <w:pPr>
        <w:pStyle w:val="Heading3"/>
      </w:pPr>
      <w:r>
        <w:t>Brief summary</w:t>
      </w:r>
    </w:p>
    <w:p>
      <w:r>
        <w:t>Plant embryogenesis converts a zygote into a patterned, maturation-competent embryo. Since the major syntheses published in 2019 and 2021, allele-resolved transcriptomics, single-cell and spatial profiling, and three-dimensional imaging have revealed substantial variation in zygotic genome activation and cleavage geometry across angiosperms, challenging models derived solely from Arabidopsis. Here, we organize recent advances along a comparative zygote-to-seed trajectory and ask how conserved regulatory modules are redeployed across lineages, how early patterning is coupled to seed maturation, and which developmental transitions can be engineered in crops. We first compare the maternal-to-zygotic transition and associated chromatin-state changes, explicitly distinguishing observations from hypotheses about their evolutionary drivers.</w:t>
      </w:r>
    </w:p>
    <w:p>
      <w:pPr>
        <w:pStyle w:val="Heading2"/>
      </w:pPr>
      <w:r>
        <w:t>5. Maternal PAN2 selectively maintains mRNA Poly(A) tail homeostasis to regulate RNA degradation during oocyte-to-early embryo transition in mice.</w:t>
      </w:r>
    </w:p>
    <w:p>
      <w:r>
        <w:t>Source: PubMed</w:t>
      </w:r>
    </w:p>
    <w:p>
      <w:r>
        <w:t>Journal/server: Science bulletin</w:t>
      </w:r>
    </w:p>
    <w:p>
      <w:r>
        <w:t>Date: 2026-10-19</w:t>
      </w:r>
    </w:p>
    <w:p>
      <w:r>
        <w:t>DOI: 10.1016/j.scib.2026.08.051</w:t>
      </w:r>
    </w:p>
    <w:p>
      <w:r>
        <w:t>Link: https://pubmed.ncbi.nlm.nih.gov/42697823/</w:t>
      </w:r>
    </w:p>
    <w:p>
      <w:pPr>
        <w:pStyle w:val="Heading3"/>
      </w:pPr>
      <w:r>
        <w:t>Abstract</w:t>
      </w:r>
    </w:p>
    <w:p>
      <w:r>
        <w:t>In mammals, the precise degradation of maternal mRNAs is essential for oocyte maturation and early embryonic development, as it facilitates the "maternal-to-zygotic transition (MZT)" by eliminating maternal transcripts and enabling zygotic genome activation (ZGA). However, the physiological role of the poly(A)-specific nuclease 2 (PAN2), a deadenylase that initiates cascade degradation of long-tailed transcripts, remains unknown. Here, we generated oocyte-specific Pan2 conditional knockout (cKO) mice to investigate its role. We found that Pan2 cKO females exhibit severe female subfertility despite normal oocyte maturation and ovulation, with embryos arresting at the 2-cell stage. PAIso-seq2 and transcriptome sequencing reveal that PAN2 coordinates maternal mRNA deadenylation and decay. Mechanistically, PAN2 recognizes its substrates through a PAN3-PABPC1 bridging complex, and it preferentially targets transcripts whose poly(A) tails lack guanosine (G) but are enriched for uridine (U). PAN2 deficiency causes poly(A) tail dyshomeostasis, leading to global accumulation of maternal mRNAs, impaired zygotic genome activation, and abnormal protein accumulation in 2-cell embryos. Overexpression of these proteins phenocopies developmental defects. Notably, the PAN2-regulated transcriptome is largely non-overlapping with the LC3B-mediated degradation pathway, highlighting the unique and non-redundant role of PAN2 in maternal mRNA clearance. Our study establishes maternal PAN2 as a critical regulator of poly(A) tail homeostasis, ensuring timely maternal mRNA clearance and proper ZGA, highlighting the stage-specific and tail-composition-dependent functions of the deadenylase cascade during the maternal-to-zygotic transition. These findings offer new perspectives on post-transcriptional regulatory mechanisms in early mammalian embryogenesis.</w:t>
      </w:r>
    </w:p>
    <w:p>
      <w:pPr>
        <w:pStyle w:val="Heading3"/>
      </w:pPr>
      <w:r>
        <w:t>Brief summary</w:t>
      </w:r>
    </w:p>
    <w:p>
      <w:r>
        <w:t>In mammals, the precise degradation of maternal mRNAs is essential for oocyte maturation and early embryonic development, as it facilitates the "maternal-to-zygotic transition (MZT)" by eliminating maternal transcripts and enabling zygotic genome activation (ZGA). However, the physiological role of the poly(A)-specific nuclease 2 (PAN2), a deadenylase that initiates cascade degradation of long-tailed transcripts, remains unknown. Here, we generated oocyte-specific Pan2 conditional knockout (cKO) mice to investigate its role. We found that Pan2 cKO females exhibit severe female subfertility despite normal oocyte maturation and ovulation, with embryos arresting at the 2-cell stage.</w:t>
      </w:r>
    </w:p>
    <w:p>
      <w:pPr>
        <w:pStyle w:val="Heading2"/>
      </w:pPr>
      <w:r>
        <w:t>6. Acetate treatment after zygotic genome activation enhances developmental competence of porcine IVF embryos.</w:t>
      </w:r>
    </w:p>
    <w:p>
      <w:r>
        <w:t>Source: PubMed</w:t>
      </w:r>
    </w:p>
    <w:p>
      <w:r>
        <w:t>Journal/server: Theriogenology</w:t>
      </w:r>
    </w:p>
    <w:p>
      <w:r>
        <w:t>Date: 2026-10-19</w:t>
      </w:r>
    </w:p>
    <w:p>
      <w:r>
        <w:t>DOI: 10.1016/j.theriogenology.2026.118036</w:t>
      </w:r>
    </w:p>
    <w:p>
      <w:r>
        <w:t>Link: https://pubmed.ncbi.nlm.nih.gov/42314495/</w:t>
      </w:r>
    </w:p>
    <w:p>
      <w:pPr>
        <w:pStyle w:val="Heading3"/>
      </w:pPr>
      <w:r>
        <w:t>Abstract</w:t>
      </w:r>
    </w:p>
    <w:p>
      <w:r>
        <w:t>In pigs, ZGA occurs around the 4-cell stage, when embryos move from the oviduct to the uterus. This overlap suggests that embryonic transcription begins as the embryo enters a new local environment. Despite this transition, many porcine in vitro production (IVP) systems provide metabolic supplements from the beginning of culture without considering the post-ZGA period separately. Acetate is a short-chain fatty acid found in the reproductive tract and can be converted into acetyl-CoA, thereby linking metabolism with epigenetic regulation. We therefore examined whether acetate supplementation after the presumed major ZGA period could improve porcine embryo development. Embryos were cultured with acetate after ZGA and assessed for blastocyst development, mitochondrial membrane potential, reactive oxygen species, glutathione, histone acetylation, and expression of survival- and adhesion-related genes. Acetate increased blastocyst formation and was accompanied by higher mitochondrial membrane potential, lower ROS-associated fluorescence, and increased glutathione levels. The treated embryos also showed stronger H3K9ac and H3K27ac signals and increased ACSS2 mRNA expression, together with changes in genes related to chromatin regulation, cell survival, and blastocyst integrity. These results show that acetate supplementation during the post-ZGA period improves porcine embryo development under the present IVP conditions and supports its use as a potential metabolic modulator during this developmental window.</w:t>
      </w:r>
    </w:p>
    <w:p>
      <w:pPr>
        <w:pStyle w:val="Heading3"/>
      </w:pPr>
      <w:r>
        <w:t>Brief summary</w:t>
      </w:r>
    </w:p>
    <w:p>
      <w:r>
        <w:t>In pigs, ZGA occurs around the 4-cell stage, when embryos move from the oviduct to the uterus. This overlap suggests that embryonic transcription begins as the embryo enters a new local environment. Despite this transition, many porcine in vitro production (IVP) systems provide metabolic supplements from the beginning of culture without considering the post-ZGA period separately. Acetate is a short-chain fatty acid found in the reproductive tract and can be converted into acetyl-CoA, thereby linking metabolism with epigenetic regulation.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