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2026-07-27 to 2026-08-03</w:t>
      </w:r>
    </w:p>
    <w:p>
      <w:r>
        <w:t>Number of papers found: 3</w:t>
      </w:r>
    </w:p>
    <w:p>
      <w:pPr>
        <w:pStyle w:val="Heading2"/>
      </w:pPr>
      <w:r>
        <w:t>1. A maternal Polycomb imprint is maintained in early Drosophila development through lower-order methylation states.</w:t>
      </w:r>
    </w:p>
    <w:p>
      <w:r>
        <w:t>Source: PubMed</w:t>
      </w:r>
    </w:p>
    <w:p>
      <w:r>
        <w:t>Journal/server: Cell reports</w:t>
      </w:r>
    </w:p>
    <w:p>
      <w:r>
        <w:t>Date: 2026-08-03</w:t>
      </w:r>
    </w:p>
    <w:p>
      <w:r>
        <w:t>DOI: 10.1016/j.celrep.2026.117679</w:t>
      </w:r>
    </w:p>
    <w:p>
      <w:r>
        <w:t>Link: https://pubmed.ncbi.nlm.nih.gov/42424139/</w:t>
      </w:r>
    </w:p>
    <w:p>
      <w:pPr>
        <w:pStyle w:val="Heading3"/>
      </w:pPr>
      <w:r>
        <w:t>Abstract</w:t>
      </w:r>
    </w:p>
    <w:p>
      <w:r>
        <w:t>Polycomb group (PcG) proteins regulate embryonic epigenetic states by facilitating mono-, di-, and tri-methylation of H3 lysine 27 (H3K27me1/2/3). For the zygote to inherit a maternal H3K27 methylation state, PcG modifications established during oogenesis must survive until zygotic genome activation. Whether parental PcG states persist through Drosophila embryogenesis remains unclear. Here, we combine stochastic modeling with in vivo experiments to define the fate of maternal H3K27 methylation. We find that the inherited PcG state consists of broad, non-canonical H3K27me2/3 domains and that H3K27me3 is not maintained through cleavage divisions but lost and later re-established within canonical PcG domains. In contrast, H3K27me2 persists in cis on maternal chromatin. Modeling and genetic analyses indicate that this retention is consistent with Polycomb repressive complex 2 (PRC2) allostery-dependent maintenance rather than non-specific, nucleation-independent methylation. These findings suggest that the early embryo inherits a maternal H3K27 landscape that persists primarily as H3K27me2 and is later remodeled into canonical H3K27me3 domains.</w:t>
      </w:r>
    </w:p>
    <w:p>
      <w:pPr>
        <w:pStyle w:val="Heading3"/>
      </w:pPr>
      <w:r>
        <w:t>Brief summary</w:t>
      </w:r>
    </w:p>
    <w:p>
      <w:r>
        <w:t>Polycomb group (PcG) proteins regulate embryonic epigenetic states by facilitating mono-, di-, and tri-methylation of H3 lysine 27 (H3K27me1/2/3). For the zygote to inherit a maternal H3K27 methylation state, PcG modifications established during oogenesis must survive until zygotic genome activation. Whether parental PcG states persist through Drosophila embryogenesis remains unclear. Here, we combine stochastic modeling with in vivo experiments to define the fate of maternal H3K27 methylation.</w:t>
      </w:r>
    </w:p>
    <w:p>
      <w:pPr>
        <w:pStyle w:val="Heading2"/>
      </w:pPr>
      <w:r>
        <w:t>2. Single-nucleotide RNA m&lt;sup&gt;6&lt;/sup&gt;A mapping in bovine preimplantation development reveals site-specific regulation of RPL12 at zygotic genome activation.</w:t>
      </w:r>
    </w:p>
    <w:p>
      <w:r>
        <w:t>Source: PubMed</w:t>
      </w:r>
    </w:p>
    <w:p>
      <w:r>
        <w:t>Journal/server: Cell reports</w:t>
      </w:r>
    </w:p>
    <w:p>
      <w:r>
        <w:t>Date: 2026-08-03</w:t>
      </w:r>
    </w:p>
    <w:p>
      <w:r>
        <w:t>DOI: 10.1016/j.celrep.2026.117635</w:t>
      </w:r>
    </w:p>
    <w:p>
      <w:r>
        <w:t>Link: https://pubmed.ncbi.nlm.nih.gov/42406595/</w:t>
      </w:r>
    </w:p>
    <w:p>
      <w:pPr>
        <w:pStyle w:val="Heading3"/>
      </w:pPr>
      <w:r>
        <w:t>Abstract</w:t>
      </w:r>
    </w:p>
    <w:p>
      <w:r>
        <w:t>RNA N&lt;sup&gt;6&lt;/sup&gt;-methyladenosine (m&lt;sup&gt;6&lt;/sup&gt;A) is a key regulator of gene expression during early embryogenesis. Using SAC-seq (m&lt;sup&gt;6&lt;/sup&gt;A-selective allyl chemical labeling and sequencing), an antibody-independent m&lt;sup&gt;6&lt;/sup&gt;A profiling method, we generated the first single-nucleotide-resolution m&lt;sup&gt;6&lt;/sup&gt;A map of bovine oocytes and preimplantation embryos. We observed both coordinated and uncoupled relationships between m&lt;sup&gt;6&lt;/sup&gt;A modification and expression of protein-coding and noncoding genes. Integrative analysis of the transcriptome, m&lt;sup&gt;6&lt;/sup&gt;A epitranscriptome, and translatome revealed dynamic m&lt;sup&gt;6&lt;/sup&gt;A remodeling, particularly in ribosomal protein genes. Functional interrogation of a specific m&lt;sup&gt;6&lt;/sup&gt;A site within the RPL12 transcript demonstrated that loss of this modification reduces protein synthesis, disrupts translation-related gene expression, impairs zygotic genome activation, and compromises blastocyst formation. Notably, supplementation with wild-type RPL12 mRNA failed to rescue developmental arrest, suggesting that m&lt;sup&gt;6&lt;/sup&gt;A regulates RPL12 function beyond transcript abundance. Overall, these findings provide a valuable single-nucleotide-resolution resource of m&lt;sup&gt;6&lt;/sup&gt;A dynamics in mammalian embryogenesis and uncover a site-specific mechanism by which m&lt;sup&gt;6&lt;/sup&gt;A regulates translation and developmental competence in early embryos.</w:t>
      </w:r>
    </w:p>
    <w:p>
      <w:pPr>
        <w:pStyle w:val="Heading3"/>
      </w:pPr>
      <w:r>
        <w:t>Brief summary</w:t>
      </w:r>
    </w:p>
    <w:p>
      <w:r>
        <w:t>RNA N&lt;sup&gt;6&lt;/sup&gt;-methyladenosine (m&lt;sup&gt;6&lt;/sup&gt;A) is a key regulator of gene expression during early embryogenesis. Using SAC-seq (m&lt;sup&gt;6&lt;/sup&gt;A-selective allyl chemical labeling and sequencing), an antibody-independent m&lt;sup&gt;6&lt;/sup&gt;A profiling method, we generated the first single-nucleotide-resolution m&lt;sup&gt;6&lt;/sup&gt;A map of bovine oocytes and preimplantation embryos. We observed both coordinated and uncoupled relationships between m&lt;sup&gt;6&lt;/sup&gt;A modification and expression of protein-coding and noncoding genes. Integrative analysis of the transcriptome, m&lt;sup&gt;6&lt;/sup&gt;A epitranscriptome, and translatome revealed dynamic m&lt;sup&gt;6&lt;/sup&gt;A remodeling, particularly in ribosomal protein genes.</w:t>
      </w:r>
    </w:p>
    <w:p>
      <w:pPr>
        <w:pStyle w:val="Heading2"/>
      </w:pPr>
      <w:r>
        <w:t>3. No title found</w:t>
      </w:r>
    </w:p>
    <w:p>
      <w:r>
        <w:t>Source: PubMed</w:t>
      </w:r>
    </w:p>
    <w:p>
      <w:r>
        <w:t>Journal/server: PubMed</w:t>
      </w:r>
    </w:p>
    <w:p>
      <w:r>
        <w:t>Date: 2026-08-03</w:t>
      </w:r>
    </w:p>
    <w:p>
      <w:r>
        <w:t xml:space="preserve">DOI: </w:t>
      </w:r>
    </w:p>
    <w:p>
      <w:r>
        <w:t>Link: https://pubmed.ncbi.nlm.nih.gov/42302666/</w:t>
      </w:r>
    </w:p>
    <w:p>
      <w:pPr>
        <w:pStyle w:val="Heading3"/>
      </w:pPr>
      <w:r>
        <w:t>Abstract</w:t>
      </w:r>
    </w:p>
    <w:p>
      <w:r>
        <w:t>No abstract available.</w:t>
      </w:r>
    </w:p>
    <w:p>
      <w:pPr>
        <w:pStyle w:val="Heading3"/>
      </w:pPr>
      <w:r>
        <w:t>Brief summary</w:t>
      </w:r>
    </w:p>
    <w:p>
      <w:r>
        <w:t>No abstract was available. Review the linked paper manually.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