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4C63C2" w14:textId="77777777" w:rsidR="00D3671B" w:rsidRPr="00D3671B" w:rsidRDefault="00D3671B" w:rsidP="00DF62E9">
      <w:pPr>
        <w:spacing w:line="406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3671B">
        <w:rPr>
          <w:rFonts w:ascii="汉仪粗宋简" w:eastAsia="汉仪粗宋简" w:hAnsi="STZhongsong" w:hint="eastAsia"/>
          <w:sz w:val="24"/>
        </w:rPr>
        <w:t>第四、令彼般若之自性在相续中生起分二：一、后得中作业；二、定中修持。</w:t>
      </w:r>
    </w:p>
    <w:p w14:paraId="4D9BEDA8" w14:textId="77777777" w:rsidR="00D3671B" w:rsidRPr="00D3671B" w:rsidRDefault="00D3671B" w:rsidP="00DF62E9">
      <w:pPr>
        <w:spacing w:line="406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3671B">
        <w:rPr>
          <w:rFonts w:ascii="汉仪粗宋简" w:eastAsia="汉仪粗宋简" w:hAnsi="STZhongsong" w:hint="eastAsia"/>
          <w:sz w:val="24"/>
        </w:rPr>
        <w:t>一、后得中作业分三：（一）增福之因——随喜；（二）不失坏福之因——回向；（三）辗转增上之因——胜解。</w:t>
      </w:r>
    </w:p>
    <w:p w14:paraId="71F91A3F" w14:textId="77777777" w:rsidR="00D3671B" w:rsidRPr="00D3671B" w:rsidRDefault="00D3671B" w:rsidP="00DF62E9">
      <w:pPr>
        <w:spacing w:line="406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3671B">
        <w:rPr>
          <w:rFonts w:ascii="汉仪粗宋简" w:eastAsia="汉仪粗宋简" w:hAnsi="STZhongsong" w:hint="eastAsia"/>
          <w:sz w:val="24"/>
        </w:rPr>
        <w:t>（一）增福之因——随喜分二：1、明菩萨随喜之胜利；2、共说随喜与回向之事。</w:t>
      </w:r>
    </w:p>
    <w:p w14:paraId="7C70E961" w14:textId="77777777" w:rsidR="00D3671B" w:rsidRPr="00D3671B" w:rsidRDefault="00D3671B" w:rsidP="00DF62E9">
      <w:pPr>
        <w:spacing w:line="406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3671B">
        <w:rPr>
          <w:rFonts w:ascii="汉仪粗宋简" w:eastAsia="汉仪粗宋简" w:hAnsi="STZhongsong" w:hint="eastAsia"/>
          <w:sz w:val="24"/>
        </w:rPr>
        <w:t>1、明菩萨随喜之胜利分二：（1）譬喻；（2）意义。</w:t>
      </w:r>
    </w:p>
    <w:p w14:paraId="12B6303E" w14:textId="77777777" w:rsidR="00D3671B" w:rsidRPr="00D3671B" w:rsidRDefault="00D3671B" w:rsidP="00DF62E9">
      <w:pPr>
        <w:spacing w:line="406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3671B">
        <w:rPr>
          <w:rFonts w:ascii="汉仪粗宋简" w:eastAsia="汉仪粗宋简" w:hAnsi="STZhongsong" w:hint="eastAsia"/>
          <w:sz w:val="24"/>
        </w:rPr>
        <w:t>（1）譬喻</w:t>
      </w:r>
    </w:p>
    <w:p w14:paraId="726573B1" w14:textId="77777777" w:rsidR="00D3671B" w:rsidRPr="00D3671B" w:rsidRDefault="00D3671B" w:rsidP="00DF62E9">
      <w:pPr>
        <w:spacing w:line="406" w:lineRule="exact"/>
        <w:jc w:val="center"/>
        <w:rPr>
          <w:rFonts w:ascii="SimHei" w:eastAsia="SimHei" w:hAnsi="SimHei" w:hint="eastAsia"/>
          <w:b/>
          <w:sz w:val="24"/>
        </w:rPr>
      </w:pPr>
      <w:r w:rsidRPr="00D3671B">
        <w:rPr>
          <w:rFonts w:ascii="SimHei" w:eastAsia="SimHei" w:hAnsi="SimHei" w:hint="eastAsia"/>
          <w:b/>
          <w:sz w:val="24"/>
        </w:rPr>
        <w:t>世间能明含识尽所有，为照明故一切发诸光，</w:t>
      </w:r>
    </w:p>
    <w:p w14:paraId="39143DD8" w14:textId="77777777" w:rsidR="00D3671B" w:rsidRPr="00D3671B" w:rsidRDefault="00D3671B" w:rsidP="00DF62E9">
      <w:pPr>
        <w:spacing w:line="406" w:lineRule="exact"/>
        <w:jc w:val="center"/>
        <w:rPr>
          <w:rFonts w:ascii="SimHei" w:eastAsia="SimHei" w:hAnsi="SimHei" w:hint="eastAsia"/>
          <w:b/>
          <w:sz w:val="24"/>
        </w:rPr>
      </w:pPr>
      <w:r w:rsidRPr="00D3671B">
        <w:rPr>
          <w:rFonts w:ascii="SimHei" w:eastAsia="SimHei" w:hAnsi="SimHei" w:hint="eastAsia"/>
          <w:b/>
          <w:sz w:val="24"/>
        </w:rPr>
        <w:t>日轮发一光明极超胜，能明群体诸光不及一。</w:t>
      </w:r>
    </w:p>
    <w:p w14:paraId="58955AB7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3671B">
        <w:rPr>
          <w:rFonts w:eastAsia="STZhongsong" w:hint="eastAsia"/>
          <w:sz w:val="24"/>
        </w:rPr>
        <w:t>首先是譬喻，以世间界其他光体和太阳光作比较。在其他光体上要抓住两点：第一、尽一切种类——有情的、无情的；第二、它们聚合一处，成为光明的聚合体，以此让它达到极度的量。太阳代表一个种类，发一次光代表一次。这样比较，其他群体发出的光，比不上太阳光的明亮度和遍及度的一分。</w:t>
      </w:r>
    </w:p>
    <w:p w14:paraId="74C5F0C0" w14:textId="77777777" w:rsidR="00D3671B" w:rsidRPr="00D3671B" w:rsidRDefault="00D3671B" w:rsidP="00DF62E9">
      <w:pPr>
        <w:spacing w:line="406" w:lineRule="exact"/>
        <w:ind w:firstLineChars="200" w:firstLine="482"/>
        <w:rPr>
          <w:rFonts w:ascii="SimHei" w:eastAsia="SimHei" w:hAnsi="SimHei"/>
          <w:b/>
          <w:sz w:val="24"/>
        </w:rPr>
      </w:pPr>
      <w:r w:rsidRPr="00D3671B">
        <w:rPr>
          <w:rFonts w:ascii="SimHei" w:eastAsia="SimHei" w:hAnsi="SimHei" w:hint="eastAsia"/>
          <w:b/>
          <w:sz w:val="24"/>
        </w:rPr>
        <w:t>在此世间界中，有能明的光体——星辰、油灯等及萤火虫、持灯者等的含识，尽其所有，此等一切为了照明诸方的缘故，以各自的身体及物体的诸光在一处发出，而日轮发一光明极为超胜，其余所有能明群体的诸光，较彼日光的亮度及广度，不及一分。</w:t>
      </w:r>
    </w:p>
    <w:p w14:paraId="68B1E085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/>
          <w:sz w:val="24"/>
        </w:rPr>
      </w:pPr>
      <w:r w:rsidRPr="00D3671B">
        <w:rPr>
          <w:rFonts w:eastAsia="STZhongsong" w:hint="eastAsia"/>
          <w:sz w:val="24"/>
        </w:rPr>
        <w:t>在世间界里，太阳之外的其他光体，大的月亮、星星、</w:t>
      </w:r>
      <w:r w:rsidRPr="00D3671B">
        <w:rPr>
          <w:rFonts w:eastAsia="STZhongsong" w:hint="eastAsia"/>
          <w:sz w:val="24"/>
        </w:rPr>
        <w:lastRenderedPageBreak/>
        <w:t>小的油灯等一切无情的光体，以及萤火虫、拿灯者等持光的有情。“尽其所有”，指有多少就聚合那么多。为了照亮一切方的缘故，把这些光合在一起，在一处发光，这样亮度就非常大了。就好比一万盏一千瓦的灯泡放在一个地方，就成了聚合体，光会非常亮，由于亮，它的照明范围就很大。像这样，为了能照到广远的一切方，把世间所有有情、无情，这些具光体、持光者全部汇在一处，在一个地方发光，结果非常亮，就像火焰聚在一起特别大一样。然而太阳是一个非常大的光体，它只要发一次光，从亮度来说，前面大聚合体的光不如它的百千万分之一；就范围而言，跟太阳的普照范围比，那些光的照明范围（体积）不如它的百千万分之一。</w:t>
      </w:r>
    </w:p>
    <w:p w14:paraId="0AFF4861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3671B">
        <w:rPr>
          <w:rFonts w:eastAsia="STZhongsong" w:hint="eastAsia"/>
          <w:sz w:val="24"/>
        </w:rPr>
        <w:t>这种比较是很惊人的。太阳光普照整个天下，它的范围太广了，东南西北哪个方向都没有边，这么大的范围全是亮的。再说它的明亮度，地球上其他光体积聚起来，放到太阳旁边，那简直是毛毛雨，比不上它的百千万亿分之一。这就知道，一个非常圆满的大东西，无论是明亮度还是遍及度，都超过无数个小东西。</w:t>
      </w:r>
    </w:p>
    <w:p w14:paraId="7E886097" w14:textId="77777777" w:rsidR="00D3671B" w:rsidRPr="00D3671B" w:rsidRDefault="00D3671B" w:rsidP="00DF62E9">
      <w:pPr>
        <w:spacing w:line="406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D3671B">
        <w:rPr>
          <w:rFonts w:ascii="汉仪粗宋简" w:eastAsia="汉仪粗宋简" w:hAnsi="SimHei" w:hint="eastAsia"/>
          <w:sz w:val="24"/>
        </w:rPr>
        <w:t>（2）意义</w:t>
      </w:r>
    </w:p>
    <w:p w14:paraId="50EE7944" w14:textId="77777777" w:rsidR="00D3671B" w:rsidRPr="00D3671B" w:rsidRDefault="00D3671B" w:rsidP="00DF62E9">
      <w:pPr>
        <w:spacing w:line="406" w:lineRule="exact"/>
        <w:jc w:val="center"/>
        <w:rPr>
          <w:rFonts w:ascii="SimHei" w:eastAsia="SimHei" w:hAnsi="SimHei" w:hint="eastAsia"/>
          <w:b/>
          <w:sz w:val="24"/>
        </w:rPr>
      </w:pPr>
      <w:r w:rsidRPr="00D3671B">
        <w:rPr>
          <w:rFonts w:ascii="SimHei" w:eastAsia="SimHei" w:hAnsi="SimHei" w:hint="eastAsia"/>
          <w:b/>
          <w:sz w:val="24"/>
        </w:rPr>
        <w:t>诸声闻众一切施戒修，极具福德资粮悉生起，</w:t>
      </w:r>
    </w:p>
    <w:p w14:paraId="67AEFBA5" w14:textId="77777777" w:rsidR="00D3671B" w:rsidRPr="00D3671B" w:rsidRDefault="00D3671B" w:rsidP="00DF62E9">
      <w:pPr>
        <w:spacing w:line="406" w:lineRule="exact"/>
        <w:jc w:val="center"/>
        <w:rPr>
          <w:rFonts w:ascii="SimHei" w:eastAsia="SimHei" w:hAnsi="SimHei" w:hint="eastAsia"/>
          <w:b/>
          <w:sz w:val="24"/>
        </w:rPr>
      </w:pPr>
      <w:r w:rsidRPr="00D3671B">
        <w:rPr>
          <w:rFonts w:ascii="SimHei" w:eastAsia="SimHei" w:hAnsi="SimHei" w:hint="eastAsia"/>
          <w:b/>
          <w:sz w:val="24"/>
        </w:rPr>
        <w:t>亦较菩萨起一随喜心，诸声闻众福蕴不及一。</w:t>
      </w:r>
    </w:p>
    <w:p w14:paraId="3EF8CFE5" w14:textId="77777777" w:rsidR="00D3671B" w:rsidRPr="00D3671B" w:rsidRDefault="00D3671B" w:rsidP="00DF62E9">
      <w:pPr>
        <w:spacing w:line="406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3671B">
        <w:rPr>
          <w:rFonts w:ascii="SimHei" w:eastAsia="SimHei" w:hAnsi="SimHei" w:hint="eastAsia"/>
          <w:b/>
          <w:sz w:val="24"/>
        </w:rPr>
        <w:t>如同上述的譬喻一样，诸声闻众尽其所有的施、戒、修三类极为具足的三福业事的资粮，悉数产生，也较菩萨产生</w:t>
      </w:r>
      <w:r w:rsidRPr="00D3671B">
        <w:rPr>
          <w:rFonts w:ascii="SimHei" w:eastAsia="SimHei" w:hAnsi="SimHei" w:hint="eastAsia"/>
          <w:b/>
          <w:sz w:val="24"/>
        </w:rPr>
        <w:lastRenderedPageBreak/>
        <w:t>一刹那的随喜心，以诸声闻众的福德蕴不及其一分。</w:t>
      </w:r>
    </w:p>
    <w:p w14:paraId="6A4C4DB2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3671B">
        <w:rPr>
          <w:rFonts w:eastAsia="STZhongsong" w:hint="eastAsia"/>
          <w:sz w:val="24"/>
        </w:rPr>
        <w:t>意义上要认识到，声闻众尽其所有种类的布施、持戒、修定，达到了极其具足的福德三种事的积聚。声闻众的福德聚分成三类：布施类、持戒类和修定类。每一类里面，布施有各种种类，持戒有各种支分戒等等，每一类都极其具足，出现了三大福德聚。这三大福德聚，如同譬喻里无情光类和有情光类两大光类极其具足的聚合体。</w:t>
      </w:r>
    </w:p>
    <w:p w14:paraId="0C4D86C6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3671B">
        <w:rPr>
          <w:rFonts w:eastAsia="STZhongsong" w:hint="eastAsia"/>
          <w:sz w:val="24"/>
        </w:rPr>
        <w:t>菩萨就像一个大日轮，发一次光代表起一念随喜心。这个随喜心普遍到了全法界，无远不届、无处不到，全法界的圣凡五类——凡夫、声闻、缘觉、菩萨、佛的所有善根聚，一念间全随喜到了。而且他住在般若中，不耽著而随喜。这个果太大了，声闻众所积聚的施戒修三类加在一起，也比不上菩萨一刹那随喜所产生的福德，也是百分不及一、千分不及一、百千万亿分不及一等等。这就是譬喻所要表达的涵义。</w:t>
      </w:r>
    </w:p>
    <w:p w14:paraId="15381CFE" w14:textId="77777777" w:rsidR="00D3671B" w:rsidRPr="00D3671B" w:rsidRDefault="00D3671B" w:rsidP="00DF62E9">
      <w:pPr>
        <w:spacing w:line="406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3671B">
        <w:rPr>
          <w:rFonts w:ascii="SimHei" w:eastAsia="SimHei" w:hAnsi="SimHei" w:hint="eastAsia"/>
          <w:b/>
          <w:sz w:val="24"/>
        </w:rPr>
        <w:t>因为：声闻众的善根事有多么大也是所缘和行相狭小、分别之垢未净及无有善巧的回向摄持故，果之量微小故。</w:t>
      </w:r>
    </w:p>
    <w:p w14:paraId="24BD058E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/>
          <w:sz w:val="24"/>
        </w:rPr>
      </w:pPr>
      <w:r w:rsidRPr="00D3671B">
        <w:rPr>
          <w:rFonts w:eastAsia="STZhongsong" w:hint="eastAsia"/>
          <w:sz w:val="24"/>
        </w:rPr>
        <w:t>为什么声闻众的福德蕴不及菩萨一念随喜心的一分呢？以理证成时有两重：第一重，声闻的善根无论多大，也是一、所缘和行相狭小，二、分别的垢未净，三、无善巧回向摄持，以此推出声闻做善根事的果量很小。第二重，由于每一个果量很小的缘故，无数个加起来，与菩萨一念极广大随喜心相比，也比不上他的一分。</w:t>
      </w:r>
    </w:p>
    <w:p w14:paraId="028AE4CB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3671B">
        <w:rPr>
          <w:rFonts w:eastAsia="STZhongsong" w:hint="eastAsia"/>
          <w:sz w:val="24"/>
        </w:rPr>
        <w:lastRenderedPageBreak/>
        <w:t>首先说第一重理由，包括三分，可以对应修善行的前行、正行和结行来解释。行善的前行，发心时只为一己所欲，想从轮回中得解脱。所缘只是自己一个人，行相就是法行的状态，也只是为自己一人。这样发心就特别小，就像一根蜡烛的光，只能照一个小范围，而且很黯淡。所缘、行相狭小，还可以就每一种修福来说。无论在修布施、持戒、修定的哪种门类里，所缘都是小的。修四念处等，所缘是一个小的法，内心的状况也是小的量。譬如观身不净，只观到身体的不净相，不能观到它离戏的空性。或者观无我，也是很小的人无我或者有边——色法和心法的粗蕴空，观不到像太虚空般的大空性。这就是所缘的量狭小，由此运行的法行状况量也很小。</w:t>
      </w:r>
    </w:p>
    <w:p w14:paraId="2577E8CF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/>
          <w:sz w:val="24"/>
        </w:rPr>
      </w:pPr>
      <w:r w:rsidRPr="00D3671B">
        <w:rPr>
          <w:rFonts w:eastAsia="STZhongsong" w:hint="eastAsia"/>
          <w:sz w:val="24"/>
        </w:rPr>
        <w:t>行善的正行中，分别的垢染没有净，只通达人无我和一点法无我，没有了达满分的法无我，不知道一切法都是无自性或现而无有。如果心空无住，就像《金刚经》所说：“以无我、无人、无众生、无寿者，修一切善法”，或者“不住色布施，不住声、香、味、触、法布施”等等。由于以三轮清净的智慧摄持，行一切善时心不著在任何相上，因此福德如同虚空。而声闻没有证到法无我，连有边都没证空，执著有无分微尘和无分刹那。这样分别的垢染没有净，没有三轮清净的智慧摄持，就是正行方面的缺陷。</w:t>
      </w:r>
    </w:p>
    <w:p w14:paraId="042B155D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3671B">
        <w:rPr>
          <w:rFonts w:eastAsia="STZhongsong" w:hint="eastAsia"/>
          <w:sz w:val="24"/>
        </w:rPr>
        <w:t>结行方面，没有以善巧回向摄持，而无法使善根推至辗</w:t>
      </w:r>
      <w:r w:rsidRPr="00D3671B">
        <w:rPr>
          <w:rFonts w:eastAsia="STZhongsong" w:hint="eastAsia"/>
          <w:sz w:val="24"/>
        </w:rPr>
        <w:lastRenderedPageBreak/>
        <w:t>转无尽的地步。</w:t>
      </w:r>
    </w:p>
    <w:p w14:paraId="03DF31D5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3671B">
        <w:rPr>
          <w:rFonts w:eastAsia="STZhongsong" w:hint="eastAsia"/>
          <w:sz w:val="24"/>
        </w:rPr>
        <w:t>像这样，由于在前行、正行、结行上，没有深广的内涵，相对菩萨来说就非常小，这样修一个善的果量就特别小。而无数个小加起来，也不及一个大的。就像无数烛光合在一起，也比不上太阳光的一分。</w:t>
      </w:r>
    </w:p>
    <w:p w14:paraId="24876FD4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3671B">
        <w:rPr>
          <w:rFonts w:eastAsia="STZhongsong" w:hint="eastAsia"/>
          <w:sz w:val="24"/>
        </w:rPr>
        <w:t>单举随喜，菩萨随喜时，是对于尽法界里的一切圣凡，下至地狱众生的一念善心，上至诸佛从因至果的善根，所有凡夫、声闻、缘觉、有学、无学、菩萨各种地道、佛从因至果，尽法界心的量一次性全部随喜，就像太阳放一次光就遍到了整个大地范围一样。这样浩瀚如海的量，无数蜡烛般的声闻善根合起来，也不及他的百分之一、千分之一、万分之一、百千万亿分之一等等。像这样，在所缘、行相上有非常大的差别。</w:t>
      </w:r>
    </w:p>
    <w:p w14:paraId="7AD9DB5F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/>
          <w:sz w:val="24"/>
        </w:rPr>
      </w:pPr>
      <w:r w:rsidRPr="00D3671B">
        <w:rPr>
          <w:rFonts w:eastAsia="STZhongsong" w:hint="eastAsia"/>
          <w:sz w:val="24"/>
        </w:rPr>
        <w:t>再者，是否有三轮清净智慧的摄持完全不同。证了空性的菩萨在做一切事时，心里连一点点著相也没有。他的心像虚空一样，尽管作，无所作，以不著相的缘故，不落在小量中。如果声闻行布施，由于他执著法我的缘故，认为有布施者，有色法、心法的微尘分和刹那分；受者也有微尘分、刹那分；施物比如一碗饭，也有微尘分、刹那分。这样著相布施，就达不到三轮清净的状况，三轮清净是丝毫不著相的。这样，一者有著相的染污，一者没有著相的染污，二者福德的量无法相比。</w:t>
      </w:r>
    </w:p>
    <w:p w14:paraId="12C1D708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3671B">
        <w:rPr>
          <w:rFonts w:eastAsia="STZhongsong" w:hint="eastAsia"/>
          <w:sz w:val="24"/>
        </w:rPr>
        <w:lastRenderedPageBreak/>
        <w:t>在回向上，由于声闻没有以菩提心为内涵，以普贤行愿回向到现前、究竟的一切利乐处，缘起上没有展开极广大的量，他只求自己解脱，这样就相差得非常大、非常远。菩萨以善巧的回向摄持的缘故，一下子就超过声闻人无数级别了。</w:t>
      </w:r>
    </w:p>
    <w:p w14:paraId="316309C6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3671B">
        <w:rPr>
          <w:rFonts w:eastAsia="STZhongsong" w:hint="eastAsia"/>
          <w:sz w:val="24"/>
        </w:rPr>
        <w:t>所以说，圆人修法一天抵过不圆人修法一劫。这里是以声闻人跟菩萨相比，如果以做人天善行来比的话，那更是相差甚远了。在所缘行相、有没有净分别垢、有没有善巧回向来摄持这些点上，注定在缘起的量上有天壤之别。由此就能判定，声闻每一次行善的果都非常小，无数小的加起来，跟一个极大的相比，也是百千万亿分不及其一。</w:t>
      </w:r>
    </w:p>
    <w:p w14:paraId="3F7ACFCA" w14:textId="77777777" w:rsidR="00D3671B" w:rsidRPr="00D3671B" w:rsidRDefault="00D3671B" w:rsidP="00DF62E9">
      <w:pPr>
        <w:spacing w:line="406" w:lineRule="exact"/>
        <w:ind w:firstLineChars="200" w:firstLine="480"/>
        <w:rPr>
          <w:rFonts w:eastAsia="STZhongsong"/>
          <w:sz w:val="24"/>
        </w:rPr>
      </w:pPr>
      <w:r w:rsidRPr="00D3671B">
        <w:rPr>
          <w:rFonts w:eastAsia="STZhongsong" w:hint="eastAsia"/>
          <w:sz w:val="24"/>
        </w:rPr>
        <w:t>菩萨以智慧和善巧摄持修善法，就像打法界拳一样，一展开就贯彻到十方三世一切量上去了。尤其是透了法界，明了一切都在法界心中，有一种无碍的定解，无论发心还是修正行都住在般若中，这样马上就能相应，能起行，的确跟不了达的人不可同日而语。所谓“修行以日劫相倍”，他修一天超过其他人一劫的修量无数倍，因为在缘起的计算上，这是超大量的事情。这就可以证明，菩萨后得位增长福德的随喜行法特别殊胜，我们修学大乘，一定要往这个方向趣入。</w:t>
      </w:r>
    </w:p>
    <w:p w14:paraId="65825092" w14:textId="77777777" w:rsidR="00E92C1B" w:rsidRPr="00F119D7" w:rsidRDefault="00E92C1B" w:rsidP="00F119D7">
      <w:pPr>
        <w:spacing w:line="420" w:lineRule="exact"/>
        <w:ind w:firstLine="200"/>
        <w:rPr>
          <w:rFonts w:hint="eastAsia"/>
          <w:sz w:val="24"/>
        </w:rPr>
      </w:pPr>
    </w:p>
    <w:sectPr w:rsidR="00E92C1B" w:rsidRPr="00F119D7" w:rsidSect="00DF6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CAD5" w14:textId="77777777" w:rsidR="000B575D" w:rsidRDefault="000B575D">
      <w:r>
        <w:separator/>
      </w:r>
    </w:p>
  </w:endnote>
  <w:endnote w:type="continuationSeparator" w:id="0">
    <w:p w14:paraId="4CF1F246" w14:textId="77777777" w:rsidR="000B575D" w:rsidRDefault="000B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6F96" w14:textId="77777777" w:rsidR="00995054" w:rsidRDefault="00995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BA03" w14:textId="77777777" w:rsidR="00995054" w:rsidRDefault="009950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6B12D" w14:textId="77777777" w:rsidR="00995054" w:rsidRDefault="00995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8FC0" w14:textId="77777777" w:rsidR="000B575D" w:rsidRDefault="000B575D">
      <w:r>
        <w:separator/>
      </w:r>
    </w:p>
  </w:footnote>
  <w:footnote w:type="continuationSeparator" w:id="0">
    <w:p w14:paraId="485FD495" w14:textId="77777777" w:rsidR="000B575D" w:rsidRDefault="000B5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C00C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DF62E9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119D7">
      <w:rPr>
        <w:rFonts w:ascii="STXihei" w:eastAsia="STXihei" w:hAnsi="STXihei" w:hint="eastAsia"/>
        <w:sz w:val="18"/>
        <w:szCs w:val="18"/>
      </w:rPr>
      <w:t>般若摄颂回向大义讲解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E3B0" w14:textId="77777777" w:rsidR="00813B22" w:rsidRPr="001A15AF" w:rsidRDefault="00F119D7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般若摄颂回向大义讲解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DF62E9">
      <w:rPr>
        <w:rStyle w:val="PageNumber"/>
        <w:rFonts w:ascii="SimSun" w:hAnsi="SimSun"/>
        <w:noProof/>
        <w:sz w:val="18"/>
        <w:szCs w:val="18"/>
      </w:rPr>
      <w:t>5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A455E" w14:textId="77777777" w:rsidR="00995054" w:rsidRDefault="009950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134524354">
    <w:abstractNumId w:val="22"/>
  </w:num>
  <w:num w:numId="2" w16cid:durableId="390857273">
    <w:abstractNumId w:val="20"/>
  </w:num>
  <w:num w:numId="3" w16cid:durableId="2054574749">
    <w:abstractNumId w:val="15"/>
  </w:num>
  <w:num w:numId="4" w16cid:durableId="710348187">
    <w:abstractNumId w:val="13"/>
  </w:num>
  <w:num w:numId="5" w16cid:durableId="513224614">
    <w:abstractNumId w:val="16"/>
  </w:num>
  <w:num w:numId="6" w16cid:durableId="874079241">
    <w:abstractNumId w:val="12"/>
  </w:num>
  <w:num w:numId="7" w16cid:durableId="89589090">
    <w:abstractNumId w:val="18"/>
  </w:num>
  <w:num w:numId="8" w16cid:durableId="549154093">
    <w:abstractNumId w:val="21"/>
  </w:num>
  <w:num w:numId="9" w16cid:durableId="789013460">
    <w:abstractNumId w:val="19"/>
  </w:num>
  <w:num w:numId="10" w16cid:durableId="11298480">
    <w:abstractNumId w:val="17"/>
  </w:num>
  <w:num w:numId="11" w16cid:durableId="1070930837">
    <w:abstractNumId w:val="23"/>
  </w:num>
  <w:num w:numId="12" w16cid:durableId="1559247282">
    <w:abstractNumId w:val="8"/>
  </w:num>
  <w:num w:numId="13" w16cid:durableId="556669050">
    <w:abstractNumId w:val="3"/>
  </w:num>
  <w:num w:numId="14" w16cid:durableId="748577326">
    <w:abstractNumId w:val="2"/>
  </w:num>
  <w:num w:numId="15" w16cid:durableId="1079521157">
    <w:abstractNumId w:val="1"/>
  </w:num>
  <w:num w:numId="16" w16cid:durableId="1161198408">
    <w:abstractNumId w:val="0"/>
  </w:num>
  <w:num w:numId="17" w16cid:durableId="1371029579">
    <w:abstractNumId w:val="9"/>
  </w:num>
  <w:num w:numId="18" w16cid:durableId="1007561054">
    <w:abstractNumId w:val="7"/>
  </w:num>
  <w:num w:numId="19" w16cid:durableId="611667511">
    <w:abstractNumId w:val="6"/>
  </w:num>
  <w:num w:numId="20" w16cid:durableId="1326664276">
    <w:abstractNumId w:val="5"/>
  </w:num>
  <w:num w:numId="21" w16cid:durableId="1330019799">
    <w:abstractNumId w:val="4"/>
  </w:num>
  <w:num w:numId="22" w16cid:durableId="1738816303">
    <w:abstractNumId w:val="14"/>
  </w:num>
  <w:num w:numId="23" w16cid:durableId="803811332">
    <w:abstractNumId w:val="10"/>
  </w:num>
  <w:num w:numId="24" w16cid:durableId="959143448">
    <w:abstractNumId w:val="11"/>
  </w:num>
  <w:num w:numId="25" w16cid:durableId="4486644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575D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522B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5054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671B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2E9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19D7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C58F29D"/>
  <w15:chartTrackingRefBased/>
  <w15:docId w15:val="{43DB0CAB-CFF0-1148-9D8D-D5608407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D56A5-27F4-4D5C-9AE8-1F0318A0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452</Words>
  <Characters>2580</Characters>
  <Application>Microsoft Office Word</Application>
  <DocSecurity>0</DocSecurity>
  <Lines>21</Lines>
  <Paragraphs>6</Paragraphs>
  <ScaleCrop>false</ScaleCrop>
  <Company>www.ftpdown.com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2016-06-09T19:47:00Z</cp:lastPrinted>
  <dcterms:created xsi:type="dcterms:W3CDTF">2022-12-27T20:42:00Z</dcterms:created>
  <dcterms:modified xsi:type="dcterms:W3CDTF">2022-12-27T20:42:00Z</dcterms:modified>
</cp:coreProperties>
</file>