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（一）梳理脉络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大圆满前行普贤上师言教，所讲的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主要内容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：</w:t>
      </w: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 xml:space="preserve"> 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1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、共同外前行：暇满难得，寿命无常，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highlight w:val="cyan"/>
          <w:lang w:bidi="bo-CN"/>
        </w:rPr>
        <w:t>轮回过患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，因果不虚，解脱利益，依止善知识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2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、不共内加行：皈依，发菩提心，念修金刚萨埵，积累资粮曼茶罗，上师瑜伽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3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、往生法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轮回过患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val="en-US" w:eastAsia="zh-CN" w:bidi="bo-CN"/>
        </w:rPr>
        <w:t>科判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：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4163060" cy="51822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518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3704590" cy="22428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3683635" cy="4944110"/>
            <wp:effectExtent l="0" t="0" r="1206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bottom w:val="single" w:color="auto" w:sz="4" w:space="0"/>
        </w:pBdr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</w:p>
    <w:p>
      <w:pPr>
        <w:widowControl/>
        <w:pBdr>
          <w:bottom w:val="single" w:color="auto" w:sz="4" w:space="0"/>
        </w:pBdr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</w:p>
    <w:p>
      <w:pPr>
        <w:widowControl/>
        <w:pBdr>
          <w:bottom w:val="single" w:color="auto" w:sz="4" w:space="0"/>
        </w:pBdr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</w:p>
    <w:p>
      <w:pPr>
        <w:widowControl/>
        <w:pBdr>
          <w:bottom w:val="single" w:color="auto" w:sz="4" w:space="0"/>
        </w:pBdr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jc w:val="center"/>
        <w:rPr>
          <w:rFonts w:hint="eastAsia" w:ascii="方正书宋_GBK" w:hAnsi="宋体" w:eastAsia="方正书宋_GBK" w:cs="宋体"/>
          <w:b/>
          <w:bCs/>
          <w:color w:val="000000"/>
          <w:kern w:val="0"/>
          <w:sz w:val="28"/>
          <w:szCs w:val="28"/>
          <w:lang w:val="en-US" w:eastAsia="zh-CN" w:bidi="bo-CN"/>
        </w:rPr>
      </w:pP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8"/>
          <w:szCs w:val="28"/>
          <w:lang w:val="en-US" w:eastAsia="zh-CN" w:bidi="bo-CN"/>
        </w:rPr>
        <w:t>《大圆满前行引导文》《大圆满前行广释》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不用说是身临其境亲眼见到地狱的景象，哪怕仅仅看到地狱的图画也会令人生起恐怖、畏惧的心理，萌发出离。因此，世尊也说应当在寺庙的门上绘画五分轮回图。怙主龙树菩萨说：“即便见闻地狱图，忆念读诵或造形，亦能生起怖畏心，何况真受异熟果？”这样思维众多轮回痛苦，理当发自内心放下今生尘世的一切琐事。</w:t>
      </w:r>
      <w:r>
        <w:rPr>
          <w:rFonts w:hint="eastAsia" w:ascii="楷体" w:hAnsi="楷体" w:eastAsia="楷体" w:cs="楷体"/>
          <w:color w:val="0000FF"/>
          <w:kern w:val="0"/>
          <w:sz w:val="24"/>
          <w:szCs w:val="24"/>
          <w:lang w:val="en-US" w:eastAsia="zh-CN" w:bidi="bo-CN"/>
        </w:rPr>
        <w:t>如果内心死执不放今生的琐事，那么即使表面上装出一副修法的模样，也不可能真正踏上正法之路。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大家也知道，人间的监狱已经够恐怖了，但地狱远远超过这个。所以，有正知正念的人在了知地狱的痛苦后，一定要避免造恶业。 当然，也有人因为邪见深重，再加上前世善根薄弱、今生教育环境的影响，听了这些后不以为然，只是把它当成神话故事。但你相信也好、不信也罢，因果绝对是无欺的，只要自己造了恶业，必定会感受相应的苦报。因此，在座的道友应对地狱生起恐惧心，有了这种心，今后才会谨慎取舍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对于上至天界、下至地狱的众多痛苦，我们一一思维之后，要发自内心放下今生的琐事，觉得世间八法、名闻利养没有多大意义，再怎么做也不过是轮回之因。汉地很多高僧大德，喜欢说看破、放下、自在，这在修行中确实重要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以上宣讲的内容，其实就是</w:t>
      </w:r>
      <w:r>
        <w:rPr>
          <w:rFonts w:hint="eastAsia" w:ascii="方正书宋_GBK" w:hAnsi="宋体" w:eastAsia="方正书宋_GBK" w:cs="宋体"/>
          <w:b/>
          <w:bCs/>
          <w:color w:val="0070C0"/>
          <w:kern w:val="0"/>
          <w:sz w:val="22"/>
          <w:lang w:val="en-US" w:eastAsia="zh-CN" w:bidi="bo-CN"/>
        </w:rPr>
        <w:t>出离心，这在佛教中很关键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。有人认为：“出离心、菩提心太简单，我要希求最高的大圆满。”但你</w:t>
      </w:r>
      <w:r>
        <w:rPr>
          <w:rFonts w:hint="eastAsia" w:ascii="方正书宋_GBK" w:hAnsi="宋体" w:eastAsia="方正书宋_GBK" w:cs="宋体"/>
          <w:color w:val="auto"/>
          <w:kern w:val="0"/>
          <w:sz w:val="22"/>
          <w:lang w:val="en-US" w:eastAsia="zh-CN" w:bidi="bo-CN"/>
        </w:rPr>
        <w:t>若</w:t>
      </w:r>
      <w:r>
        <w:rPr>
          <w:rFonts w:hint="eastAsia" w:ascii="方正书宋_GBK" w:hAnsi="宋体" w:eastAsia="方正书宋_GBK" w:cs="宋体"/>
          <w:color w:val="C00000"/>
          <w:kern w:val="0"/>
          <w:sz w:val="22"/>
          <w:lang w:val="en-US" w:eastAsia="zh-CN" w:bidi="bo-CN"/>
        </w:rPr>
        <w:t>没有出离心和菩提心的基础，大圆满法再殊胜，修起来也有一定困难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。其实，出离心的要求还是很高的，你无论在家还是出家，可以想一想：自己修行是为了解脱，还是获得人天福报，或者只顾眼前利益？有些宗教追求死后升天，但你如果连这个都没有，仅仅是希求今生的生活平平安安、工作顺顺利利、家庭和睦相处……那连一个人天乘都赶不上。故而出离心相当深奥，每个人都不能小觑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阿底峡尊者接近圆寂时，一位瑜伽士请问道：“尊者您圆寂之后我就去修行？”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尊者说：“修行难道就能趋入正法吗？”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瑜伽士：“那么我去讲经说法？”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尊者依然说：“讲经说法难道就能趋入正法吗？”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他问：“那么我应该做什么呢？”</w:t>
      </w:r>
    </w:p>
    <w:p>
      <w:pPr>
        <w:widowControl/>
        <w:ind w:firstLine="48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尊者斩钉截铁地说：“你的一切修行应当依止仲敦巴，</w:t>
      </w:r>
      <w:r>
        <w:rPr>
          <w:rFonts w:hint="eastAsia" w:ascii="楷体" w:hAnsi="楷体" w:eastAsia="楷体" w:cs="楷体"/>
          <w:b/>
          <w:bCs/>
          <w:color w:val="0070C0"/>
          <w:kern w:val="0"/>
          <w:sz w:val="24"/>
          <w:szCs w:val="24"/>
          <w:lang w:val="en-US" w:eastAsia="zh-CN" w:bidi="bo-CN"/>
        </w:rPr>
        <w:t>主要就是舍弃今世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。”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阿底峡尊者尊者来藏地也有一个目的，那就是度化一位居士——仲敦巴。所以，尊者在圆寂之后，要求弟子还是要依止仲敦巴，不能马上就离开，否则禁不起外在的风雨，会让自己再落入尘世。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仲敦巴尊者，其实就是从内心舍弃了今生琐事的典范。一次，色顿山谷的信众迎请尊者去传法。他对弟子吉祥自在说：“你代我去吧！我正在修持舍弃世间之法，故不允许我作出心行相违的举动。”之后，他终年穿着缀满补丁的旧衣服，在热振寺的森林中修行，常常口里念着“我是希求解脱者，莫为名闻利养缚”……可见，一心希求解脱的人，绝不会贪著名声、地位、财富，正因为他把这些看得很淡，故根本不会被此所转。然在末法时代，真正能抛弃世间八法的人，实在少之又少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以前萨迦班智达面前，来了个叫宁莫的修行人，他问：“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舍弃今世的因是什么？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”班智达答言：“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懂得轮回一切琐事无有实义。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又问：“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舍弃今世的缘是什么？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”答言：“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了知轮回的诸多过患。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再问：“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舍弃今世的量是什么？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”答言：“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对世间八法兴趣索然。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最后问：“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舍弃今世的验相是什么？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”“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val="en-US" w:eastAsia="zh-CN" w:bidi="bo-CN"/>
        </w:rPr>
        <w:t>不被世间八法所染。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这四个问题，我在讲《开启修心门扉》时也提到过。所以对修行人而言，最关键的就是不被世间八法所转。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一位僧人转绕“热振”寺时遇到了仲敦巴格西。仲敦巴格西说：“尊者转绕固然值得欢喜，但是如果能修持一个卓有成效的法门不是更好吗？”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当时那位尊者想：读诵大乘经典比转绕的修法功德更广大吧。于是他就到经堂的走廊去诵经。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仲敦巴格西说：“诵经固然值得欢喜，如果能修持行之有效的一个法门不是更好吗？”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那僧人又想：修持禅定该比诵经修法功德更广大吧。于是放下经书，在床上闭目而坐。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仲敦巴格西又说：“参禅也是值得欢喜的，如果能修持一个行之有效的法门难道不是更好吗？”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这时那位僧人实在已想不出别的修法了，只好问格西：“尊者啊，那么我该修什么法呢？”</w:t>
      </w:r>
    </w:p>
    <w:p>
      <w:pPr>
        <w:widowControl/>
        <w:ind w:firstLine="48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仲敦巴格西回答：“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4"/>
          <w:szCs w:val="24"/>
          <w:highlight w:val="yellow"/>
          <w:lang w:val="en-US" w:eastAsia="zh-CN" w:bidi="bo-CN"/>
        </w:rPr>
        <w:t>舍弃今世！舍弃今世！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”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因此，在所有的修法中，这个法最为关键。《开启修心门扉》、《山法宝鬘论》中也讲过，如果没有看破今世，修什么法都不会成功。前辈大德讲过，修行人无论出家、在家，对今生的名闻利养等没有兴趣，修行才会圆满成功。否则，一味贪著尘世间的琐事，永远无法从轮回的痛苦中解脱出来。所以，大家要彻底斩断此生的牵连，学修后世菩提，尤其是若想出家修行，一定要背离世间五欲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即生尘世间的一切琐事，会导致自己现世直至永远无法从轮回的痛苦中解脱出来，我们务必要彻底斩断此生的牵连，学修后世菩提，而能巧妙为我们开示了脱生死、证得圣果的人唯有具足法相的上师，再没有任何人能做到这一点。因此，对于今生的父母双亲、亲属友人、财物受用一切的一切要弃如唾液，衣食住行等随遇而安，全心全意地修行正法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印度单巴桑吉说：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“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此事此物好似过往云烟，千万不要执著为常有！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世间的一切犹如梦幻泡影，一会儿就消失了，没有什么实在意义。当年特别执著的财物、衣服等，现在一看，已经没了丝毫感觉；而今天自己贪著的对境，过几年也会是如此。所以，万法无有任何实质，不要把这些一直耽著为常有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【一切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名誉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犹如空谷回音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，千万不要逐名求利，应当修行法性！】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有些人特别爱重名声，为了美名远扬，付出自己的一切都愿意。其实这是修行不好的标志。出了名又有什么用？即使你在全世界无人不知，但当死亡来临时，名声又能带给你什么？诚如《不退转法轮经》所云：“若有重名誉，是名远菩提，是声犹如响，分别故多种。”假如特别重视名誉，此人则已远离了菩提，因为名声如空谷声一样，没有任何实义，只不过是人们以分别心扩大了它的价值而已。因此，作为一个修行人，不管出家还是在家，若要看破今世、希求解脱，最好不要特别耽著名声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漂亮衣裳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宛若绚丽彩虹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，应当身着破旧衣衫而修行！自己的这个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身体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是脓血、黄水的臭皮囊，千万不要执著珍爱！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美味佳肴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也是粪便的因，千万不要整日都是为了充饥果腹而奔波忙碌！】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衣服再好，临死的时候也带不走，所以，穿普通衣服修行也是一样的，几千几万块的高档名牌，跟一般衣服的价值没有多大差别。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真正的修行人，对身体不会特别执著，以野草为食、树叶为衣即可过活。莲池大师在《座右诗》中亦云：“草食胜空腹，茅堂过露居，人生解知足，烦恼一时除。”吃野草已胜过空腹，住茅棚已胜过露宿，人生若能知足少欲，烦恼当下即可摈除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许多人常爱与人攀比衣食，尤其在大城市里，每个人都有各种追求。但欲望的无限与物质的有限之间差距太大，故这些追求往往无功而返，给自己平添了许多苦恼。因此，我们不应特别追求外在的名声、财富，有了这些去享用也可以，没有的话，则不必刻意去乞求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【感觉外界会招致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怨敌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四起，应当安住在深山等寂静的地方！迷乱的荆棘会刺入内心，所以应当修持平等性！】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倘若陷入混乱的人群中，种种分别念、违缘就会纷然而至。所以，我们应安住在寂静的地方，真正做个修行人。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《如来智印经》云：“不惜身及命，于亲不染爱，勤修空无我，是能成菩提。”若能不惜身体和生命，不贪爱亲朋好友，长期勤修佛陀的最高法要——无我空性义，那么必定能成就菩提。不过，就像财富并非人人都有份一样，有缘修持无我空性的人也极少，此甘露美味，只有个别人才可以享用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一切需求都来源于自己的心，务必严加守护自己的这颗心！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如意宝自身固有，万万不要一味贪著饮食财物！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闲言碎语过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多只能成为诤讼的根源，应当像哑巴一样默默不语！】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一切希求皆源自于内心，内心不满足的话，自己的需求会永远没完没了。正如萨 哈尊者所说“心是如意宝”，所以我们要好好守护自己的心，依靠上师的窍诀来调伏它。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我们的心是如意宝，若依靠上师窍诀认识它的本性，一切智慧和悲心会自然流露，故万万不能让它迷失，去耽著一些无义琐事。现在人天天都吃喝玩乐，早上想着中午吃什么，中午想晚上吃什么，晚饭又想明天早上吃什么，似乎人只为了一日三餐而活。穿衣服方面也是如此。假如目光整天只盯着自己的衣食，那实在没有意义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闲言碎语说太多了，对解脱等一切都有障碍。因此，要经常禁语为佳。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【心本身显现种种业，千万不要围着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饮食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团团转！】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心可以显现各种各样的业，所以不要把心整天放在饮食上，除了饮食什么都不想。北宋的王安石，吃饭不辨味道是出了名的，饭菜对他来说根本没区别，只要能果腹就行，什么最便于下筷，他就吃什么。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现在许多人在吃饭上，要花很多时间和精力。为了中午吃顿饭，顶着堵车的压力，要坐三四个小时的车。吃了午饭又考虑：“晚上谁请客？是不是我来请？”然后下午又要坐车，晚饭开始后，饭桌上还要耗去两三个小时……其实人吃一顿饭很简单，没必要花这么长时间。但现在也没办法，因为人们已经习惯了。 </w:t>
      </w:r>
    </w:p>
    <w:p>
      <w:pPr>
        <w:widowControl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auto"/>
          <w:kern w:val="0"/>
          <w:sz w:val="24"/>
          <w:szCs w:val="24"/>
          <w:lang w:val="en-US" w:eastAsia="zh-CN" w:bidi="bo-CN"/>
        </w:rPr>
        <w:t>加持原本是从内心生起，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4"/>
          <w:szCs w:val="24"/>
          <w:lang w:val="en-US" w:eastAsia="zh-CN" w:bidi="bo-CN"/>
        </w:rPr>
        <w:t>应当祈祷上师本尊！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这一点很重要！一个人的修行要成功，心必须获得上师、诸佛的加持，否则，修什么法都难如登天。就像在春天时大地变暖，万物就可以生长一样，我们的心若得到本尊、上师、诸佛菩萨的加持，种种功德自然而然会生起。当然，如果想得到加持，就一定要依靠祈祷。有些佛教徒认为祈祷只是种形式，没有多大必要，这种说法很不对。只有对上师本尊经常祈祷，才会时时刻刻得到无形的指点，成为最后开悟的顺缘，因此祈祷相当重要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长期住在一个地方，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甚至对佛陀也会看出过失，不要长年累月地住在一个地方！时时刻刻谦虚谨慎，万万不要骄傲自满！】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古代有一种欹器，是种汲水的罐器。它不能装得太满，灌入少量水时，罐身是竖着的，而一旦灌满水，罐子就倾覆过来，水一下都倒出来了。所以，孔子见到欹器后，颇有感触地说：“物满则覆。为人处世也是如此，要谦虚，不可自满！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 w:bidi="bo-CN"/>
        </w:rPr>
        <w:t>岁月飞逝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，时不待我，一定要当机立断修行正法！】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时光不会等待我们，人生岁月也是有限的，因此，有机缘时一定要立即修行，不能一拖再拖：“我四五年或十年后，再来出家……”否则，到时即使你有这种发心，也不一定有这个机缘。所以，遇到这么好的正法时，理应抓紧时间修行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【今生的我们就像旅客一样，千万不要费尽心机苦苦营造作为暂时栖身之处的房屋！】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不要天天为了房子而辛苦，我们来这里不是搞房地产，而是来修心的，修心和修房不一样，这一点千万不能搞错！以前有个出家人，在学院修了好多年房子，但房子刚修完，人就离开了。他的法没修好，房子倒是修好了，但结果也没用上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现在城市里的人，好多也是为房子而活。本来房子应该是为人服务，但分期付款买房以后，自己却成了房子的奴隶，一辈子都要为它忙碌。他们觉得“别人这么做，我也要这么做，不然好像赶不上时代”，但以佛教的观点来看，这样活确实太累了。所以作为修行人，虽说没有住处也不行，但还是应以修行为主，轻重务必要分清楚！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00B050"/>
          <w:kern w:val="0"/>
          <w:sz w:val="24"/>
          <w:szCs w:val="24"/>
          <w:lang w:val="en-US" w:eastAsia="zh-CN" w:bidi="bo-CN"/>
        </w:rPr>
        <w:t>任何琐事都没有点滴的利益，应当脚踏实地修行正法！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自己的身体总有一天要被小虫所食而消失无影，而且这一天什么时候来临也无法确定，万万不能一直庸庸碌碌散乱在此生的景象中！亲朋好友就像林中的小鸟，不要总是对他们牵肠挂肚！虔诚的信心好似良田，切切不可置之不理让它变成烦恼的贫瘠荒地！暇满人身恰似如意宝，千万不能送给贪嗔的怨敌！誓言犹如瞭望楼，千万不能被罪业的过患染污！金刚阿阇黎住世时，万万不要懈怠修持正法！”】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【所以，如果想要扎扎实实地修行正法，就</w:t>
      </w:r>
      <w:r>
        <w:rPr>
          <w:rFonts w:hint="eastAsia" w:ascii="楷体" w:hAnsi="楷体" w:eastAsia="楷体" w:cs="楷体"/>
          <w:b/>
          <w:bCs/>
          <w:color w:val="0070C0"/>
          <w:kern w:val="0"/>
          <w:sz w:val="24"/>
          <w:szCs w:val="24"/>
          <w:lang w:val="en-US" w:eastAsia="zh-CN" w:bidi="bo-CN"/>
        </w:rPr>
        <w:t>必须竭尽全力认识到整个轮回的万事万物没有任何实质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。而相续中能生起这种观念的因，绝对就是观修轮回的过患。在自相续中没有深深生起这样的理念之前要努力修行。】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b/>
          <w:bCs/>
          <w:color w:val="7030A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7030A0"/>
          <w:kern w:val="0"/>
          <w:sz w:val="24"/>
          <w:szCs w:val="24"/>
          <w:lang w:val="en-US" w:eastAsia="zh-CN" w:bidi="bo-CN"/>
        </w:rPr>
        <w:t>那么观修轮回过患在相续中生起的标准是怎样的呢？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要像朗日塘巴尊者那样。一次，侍者对上师说：“其他人都管上师叫黑脸朗日塘巴。”朗日塘巴尊者说：“</w:t>
      </w:r>
      <w:r>
        <w:rPr>
          <w:rFonts w:hint="eastAsia" w:ascii="楷体" w:hAnsi="楷体" w:eastAsia="楷体" w:cs="楷体"/>
          <w:b/>
          <w:bCs/>
          <w:color w:val="7030A0"/>
          <w:kern w:val="0"/>
          <w:sz w:val="24"/>
          <w:szCs w:val="24"/>
          <w:lang w:val="en-US" w:eastAsia="zh-CN" w:bidi="bo-CN"/>
        </w:rPr>
        <w:t>想到三界轮回的痛苦，怎么会有笑容呢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？”据说，有一天，一只老鼠悄悄地来偷尊者曼茶盘上的一颗松耳石，可它怎么搬也搬不动，于是它就“吱吱”地呼唤来另一只老鼠，然后这两只老鼠一推一拉将“成果”搬走了，看到这副情景，尊者情不自禁地露出了笑容。除此之外，任何时候也没有现过笑脸。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【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4"/>
          <w:szCs w:val="24"/>
          <w:lang w:val="en-US" w:eastAsia="zh-CN" w:bidi="bo-CN"/>
        </w:rPr>
        <w:t>观修轮回的痛苦是内心趋入正法、诚信因果、舍弃今世、慈悲众生等一切圣道功德的根本。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释迦牟尼佛次第转了三次法轮，初转法轮时首先对众比丘说：“此乃痛苦，当知痛苦。”所以，相续中没有生起这样的定解之前，必须踏踏实实地观修轮回痛苦。】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8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4"/>
          <w:szCs w:val="24"/>
          <w:lang w:val="en-US" w:eastAsia="zh-CN" w:bidi="bo-CN"/>
        </w:rPr>
      </w:pPr>
    </w:p>
    <w:p>
      <w:pPr>
        <w:widowControl/>
        <w:ind w:firstLine="480" w:firstLineChars="200"/>
        <w:jc w:val="center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虽见轮回痛苦仍贪执，虽畏恶趣险地仍作恶，</w:t>
      </w:r>
    </w:p>
    <w:p>
      <w:pPr>
        <w:widowControl/>
        <w:ind w:firstLine="480" w:firstLineChars="200"/>
        <w:jc w:val="center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我与如我邪道众有情，看破放下今世祈加持。</w:t>
      </w:r>
    </w:p>
    <w:p>
      <w:pPr>
        <w:widowControl/>
        <w:ind w:firstLine="480" w:firstLineChars="200"/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</w:p>
    <w:p>
      <w:pPr>
        <w:widowControl/>
        <w:ind w:firstLine="480" w:firstLineChars="200"/>
        <w:jc w:val="right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bo-CN"/>
        </w:rPr>
        <w:t>轮回过患之引导终</w:t>
      </w:r>
    </w:p>
    <w:p>
      <w:pPr>
        <w:widowControl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4"/>
          <w:szCs w:val="24"/>
          <w:lang w:val="en-US" w:eastAsia="zh-CN" w:bidi="bo-CN"/>
        </w:rPr>
      </w:pPr>
    </w:p>
    <w:p/>
    <w:p/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问：</w:t>
      </w:r>
    </w:p>
    <w:p>
      <w:pPr>
        <w:widowControl/>
        <w:numPr>
          <w:ilvl w:val="0"/>
          <w:numId w:val="3"/>
        </w:numPr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请谈一下观修轮回痛苦的重要性。</w:t>
      </w:r>
    </w:p>
    <w:p>
      <w:pPr>
        <w:widowControl/>
        <w:numPr>
          <w:ilvl w:val="0"/>
          <w:numId w:val="3"/>
        </w:numPr>
        <w:ind w:left="0" w:leftChars="0" w:firstLine="440" w:firstLineChars="200"/>
        <w:jc w:val="left"/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什么是舍弃今世？你觉得在舍弃今世方面，你现在做得如何，学完本课有何感想？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书宋_GBK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书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0CC46"/>
    <w:multiLevelType w:val="singleLevel"/>
    <w:tmpl w:val="AD10CC46"/>
    <w:lvl w:ilvl="0" w:tentative="0">
      <w:start w:val="1"/>
      <w:numFmt w:val="none"/>
      <w:pStyle w:val="11"/>
      <w:suff w:val="nothing"/>
      <w:lvlText w:val="1 "/>
      <w:lvlJc w:val="left"/>
      <w:pPr>
        <w:tabs>
          <w:tab w:val="left" w:pos="0"/>
        </w:tabs>
        <w:ind w:left="0" w:firstLine="403"/>
      </w:pPr>
      <w:rPr>
        <w:rFonts w:hint="default"/>
      </w:rPr>
    </w:lvl>
  </w:abstractNum>
  <w:abstractNum w:abstractNumId="1">
    <w:nsid w:val="CF5FD7F8"/>
    <w:multiLevelType w:val="multilevel"/>
    <w:tmpl w:val="CF5FD7F8"/>
    <w:lvl w:ilvl="0" w:tentative="0">
      <w:start w:val="1"/>
      <w:numFmt w:val="decimal"/>
      <w:pStyle w:val="2"/>
      <w:lvlText w:val="%1"/>
      <w:lvlJc w:val="left"/>
      <w:pPr>
        <w:ind w:left="431" w:hanging="431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715" w:hanging="431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999" w:hanging="431"/>
      </w:pPr>
      <w:rPr>
        <w:rFonts w:hint="eastAsia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1283" w:hanging="431"/>
      </w:pPr>
      <w:rPr>
        <w:rFonts w:hint="eastAsia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567" w:hanging="43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851" w:hanging="431"/>
      </w:pPr>
      <w:rPr>
        <w:rFonts w:hint="eastAsia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2135" w:hanging="431"/>
      </w:pPr>
      <w:rPr>
        <w:rFonts w:hint="eastAsia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2419" w:hanging="431"/>
      </w:pPr>
      <w:rPr>
        <w:rFonts w:hint="eastAsia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703" w:hanging="431"/>
      </w:pPr>
      <w:rPr>
        <w:rFonts w:hint="eastAsia" w:cs="Times New Roman"/>
      </w:rPr>
    </w:lvl>
  </w:abstractNum>
  <w:abstractNum w:abstractNumId="2">
    <w:nsid w:val="3FCD655D"/>
    <w:multiLevelType w:val="singleLevel"/>
    <w:tmpl w:val="3FCD65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2425"/>
    <w:rsid w:val="020E02BD"/>
    <w:rsid w:val="03066783"/>
    <w:rsid w:val="030F08A0"/>
    <w:rsid w:val="08C57716"/>
    <w:rsid w:val="0A014C71"/>
    <w:rsid w:val="0BF65FD0"/>
    <w:rsid w:val="0C7B2D0C"/>
    <w:rsid w:val="0E401A57"/>
    <w:rsid w:val="0F285781"/>
    <w:rsid w:val="0F572DD4"/>
    <w:rsid w:val="0F966DF5"/>
    <w:rsid w:val="10D54A53"/>
    <w:rsid w:val="11656FCC"/>
    <w:rsid w:val="135A627E"/>
    <w:rsid w:val="13B57A7A"/>
    <w:rsid w:val="15580298"/>
    <w:rsid w:val="17C4181A"/>
    <w:rsid w:val="20C16462"/>
    <w:rsid w:val="21325351"/>
    <w:rsid w:val="21B531FF"/>
    <w:rsid w:val="22656420"/>
    <w:rsid w:val="25E84271"/>
    <w:rsid w:val="277D6132"/>
    <w:rsid w:val="282255A2"/>
    <w:rsid w:val="2AEB091E"/>
    <w:rsid w:val="2AF93A95"/>
    <w:rsid w:val="2DAE4410"/>
    <w:rsid w:val="30DC222D"/>
    <w:rsid w:val="314B7D2E"/>
    <w:rsid w:val="31534637"/>
    <w:rsid w:val="32BD32AF"/>
    <w:rsid w:val="33B7410A"/>
    <w:rsid w:val="357B271F"/>
    <w:rsid w:val="36394F0C"/>
    <w:rsid w:val="375909E0"/>
    <w:rsid w:val="39126EE2"/>
    <w:rsid w:val="3B436DFB"/>
    <w:rsid w:val="3B9A5CA7"/>
    <w:rsid w:val="3BDC0AF5"/>
    <w:rsid w:val="3D292795"/>
    <w:rsid w:val="41276805"/>
    <w:rsid w:val="421564FB"/>
    <w:rsid w:val="422A3094"/>
    <w:rsid w:val="444A35A0"/>
    <w:rsid w:val="471B7348"/>
    <w:rsid w:val="48971CC0"/>
    <w:rsid w:val="48BD0E48"/>
    <w:rsid w:val="493C5FF0"/>
    <w:rsid w:val="4969421B"/>
    <w:rsid w:val="49900314"/>
    <w:rsid w:val="49EA2E1C"/>
    <w:rsid w:val="4A2171ED"/>
    <w:rsid w:val="4A383CAD"/>
    <w:rsid w:val="4B0F2EBD"/>
    <w:rsid w:val="4B8A0C51"/>
    <w:rsid w:val="4BD274E9"/>
    <w:rsid w:val="4CCF30EC"/>
    <w:rsid w:val="4F9C0813"/>
    <w:rsid w:val="51D777A8"/>
    <w:rsid w:val="55344AE4"/>
    <w:rsid w:val="5B8C232E"/>
    <w:rsid w:val="5C1F5EEC"/>
    <w:rsid w:val="5D6B32E3"/>
    <w:rsid w:val="5DA92711"/>
    <w:rsid w:val="623C3695"/>
    <w:rsid w:val="624B1408"/>
    <w:rsid w:val="62BE54FC"/>
    <w:rsid w:val="63985546"/>
    <w:rsid w:val="639D4076"/>
    <w:rsid w:val="685140B1"/>
    <w:rsid w:val="68521114"/>
    <w:rsid w:val="68A34505"/>
    <w:rsid w:val="69BD3A70"/>
    <w:rsid w:val="6BD35690"/>
    <w:rsid w:val="6CB930FB"/>
    <w:rsid w:val="6CBC6777"/>
    <w:rsid w:val="722D461A"/>
    <w:rsid w:val="733A58D4"/>
    <w:rsid w:val="744B50F0"/>
    <w:rsid w:val="75B1080B"/>
    <w:rsid w:val="76322352"/>
    <w:rsid w:val="77455D63"/>
    <w:rsid w:val="79012076"/>
    <w:rsid w:val="7A184892"/>
    <w:rsid w:val="7C033E2F"/>
    <w:rsid w:val="7F8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20" w:after="20" w:line="360" w:lineRule="auto"/>
      <w:ind w:left="431" w:hanging="431" w:firstLineChars="0"/>
      <w:jc w:val="left"/>
      <w:outlineLvl w:val="0"/>
    </w:pPr>
    <w:rPr>
      <w:rFonts w:ascii="Arial" w:hAnsi="Arial" w:eastAsia="黑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360" w:lineRule="auto"/>
      <w:ind w:left="715" w:hanging="431" w:firstLineChars="0"/>
      <w:jc w:val="left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numPr>
        <w:ilvl w:val="2"/>
        <w:numId w:val="1"/>
      </w:numPr>
      <w:spacing w:beforeAutospacing="1" w:afterAutospacing="1" w:line="360" w:lineRule="auto"/>
      <w:ind w:left="999" w:hanging="431" w:firstLineChars="0"/>
      <w:jc w:val="left"/>
      <w:outlineLvl w:val="2"/>
    </w:pPr>
    <w:rPr>
      <w:rFonts w:ascii="Arial" w:hAnsi="Arial" w:eastAsia="黑体" w:cs="Times New Roman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0"/>
    <w:pPr>
      <w:keepNext/>
      <w:keepLines/>
      <w:numPr>
        <w:ilvl w:val="3"/>
        <w:numId w:val="1"/>
      </w:numPr>
      <w:spacing w:before="30" w:beforeLines="30" w:beforeAutospacing="0" w:after="30" w:afterLines="30" w:afterAutospacing="0" w:line="324" w:lineRule="auto"/>
      <w:ind w:left="0" w:firstLine="0" w:firstLineChars="0"/>
      <w:jc w:val="left"/>
      <w:outlineLvl w:val="3"/>
    </w:pPr>
    <w:rPr>
      <w:rFonts w:ascii="Arial" w:hAnsi="Arial" w:eastAsia="黑体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0"/>
    <w:pPr>
      <w:keepNext/>
      <w:numPr>
        <w:ilvl w:val="4"/>
        <w:numId w:val="1"/>
      </w:numPr>
      <w:spacing w:line="360" w:lineRule="auto"/>
      <w:ind w:left="1567" w:hanging="431" w:firstLineChars="0"/>
      <w:jc w:val="left"/>
      <w:outlineLvl w:val="4"/>
    </w:pPr>
    <w:rPr>
      <w:rFonts w:ascii="Arial" w:hAnsi="Arial" w:eastAsia="宋体" w:cs="Times New Roman"/>
      <w:b/>
      <w:bCs/>
      <w:szCs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851" w:hanging="43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2135" w:hanging="431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2419" w:hanging="431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2703" w:hanging="431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note text"/>
    <w:basedOn w:val="1"/>
    <w:link w:val="20"/>
    <w:qFormat/>
    <w:uiPriority w:val="0"/>
    <w:pPr>
      <w:numPr>
        <w:ilvl w:val="0"/>
        <w:numId w:val="2"/>
      </w:numPr>
      <w:snapToGrid w:val="0"/>
      <w:jc w:val="left"/>
    </w:pPr>
    <w:rPr>
      <w:rFonts w:asciiTheme="minorAscii" w:hAnsiTheme="minorAscii" w:eastAsiaTheme="minorEastAsia" w:cstheme="minorBidi"/>
      <w:sz w:val="18"/>
      <w:szCs w:val="18"/>
    </w:rPr>
  </w:style>
  <w:style w:type="paragraph" w:styleId="12">
    <w:name w:val="toc 2"/>
    <w:basedOn w:val="1"/>
    <w:next w:val="1"/>
    <w:qFormat/>
    <w:uiPriority w:val="0"/>
    <w:pPr>
      <w:tabs>
        <w:tab w:val="left" w:pos="1050"/>
        <w:tab w:val="right" w:leader="dot" w:pos="9628"/>
      </w:tabs>
      <w:spacing w:line="240" w:lineRule="auto"/>
      <w:ind w:left="0" w:leftChars="0" w:firstLine="0" w:firstLineChars="0"/>
    </w:pPr>
  </w:style>
  <w:style w:type="character" w:customStyle="1" w:styleId="15">
    <w:name w:val="标题 1 Char"/>
    <w:basedOn w:val="13"/>
    <w:link w:val="2"/>
    <w:qFormat/>
    <w:uiPriority w:val="99"/>
    <w:rPr>
      <w:rFonts w:ascii="Arial" w:hAnsi="Arial" w:eastAsia="黑体" w:cs="Times New Roman"/>
      <w:b/>
      <w:bCs/>
      <w:kern w:val="44"/>
      <w:sz w:val="32"/>
      <w:szCs w:val="44"/>
    </w:rPr>
  </w:style>
  <w:style w:type="character" w:customStyle="1" w:styleId="16">
    <w:name w:val="标题 2 Char"/>
    <w:basedOn w:val="13"/>
    <w:link w:val="3"/>
    <w:qFormat/>
    <w:uiPriority w:val="99"/>
    <w:rPr>
      <w:rFonts w:ascii="Arial" w:hAnsi="Arial" w:eastAsia="黑体" w:cs="Times New Roman"/>
      <w:b/>
      <w:bCs/>
      <w:sz w:val="28"/>
      <w:szCs w:val="32"/>
    </w:rPr>
  </w:style>
  <w:style w:type="character" w:customStyle="1" w:styleId="17">
    <w:name w:val="标题 3 Char"/>
    <w:basedOn w:val="13"/>
    <w:link w:val="4"/>
    <w:qFormat/>
    <w:uiPriority w:val="99"/>
    <w:rPr>
      <w:rFonts w:ascii="Arial" w:hAnsi="Arial" w:eastAsia="黑体" w:cs="Times New Roman"/>
      <w:b/>
      <w:bCs/>
      <w:sz w:val="24"/>
      <w:szCs w:val="32"/>
    </w:rPr>
  </w:style>
  <w:style w:type="character" w:customStyle="1" w:styleId="18">
    <w:name w:val="标题 4 Char"/>
    <w:basedOn w:val="13"/>
    <w:link w:val="5"/>
    <w:qFormat/>
    <w:uiPriority w:val="99"/>
    <w:rPr>
      <w:rFonts w:ascii="Arial" w:hAnsi="Arial" w:eastAsia="黑体" w:cs="Times New Roman"/>
      <w:b/>
      <w:bCs/>
      <w:sz w:val="24"/>
      <w:szCs w:val="28"/>
    </w:rPr>
  </w:style>
  <w:style w:type="character" w:customStyle="1" w:styleId="19">
    <w:name w:val="标题 5 Char"/>
    <w:basedOn w:val="13"/>
    <w:link w:val="6"/>
    <w:qFormat/>
    <w:uiPriority w:val="99"/>
    <w:rPr>
      <w:rFonts w:ascii="Arial" w:hAnsi="Arial" w:eastAsia="宋体" w:cs="Times New Roman"/>
      <w:b/>
      <w:bCs/>
      <w:szCs w:val="24"/>
    </w:rPr>
  </w:style>
  <w:style w:type="character" w:customStyle="1" w:styleId="20">
    <w:name w:val="脚注文本 Char"/>
    <w:link w:val="11"/>
    <w:qFormat/>
    <w:uiPriority w:val="99"/>
    <w:rPr>
      <w:rFonts w:asciiTheme="minorAscii" w:hAnsiTheme="minorAsci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xiao.xiao</dc:creator>
  <cp:lastModifiedBy>xiao.xiao</cp:lastModifiedBy>
  <dcterms:modified xsi:type="dcterms:W3CDTF">2022-11-01T12:46:03Z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