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We introduce a magnetically actuated, non-contact rehabilitation system designed to reduce the physical risks associated with rigid robotic interaction while preserving an engaging motor-training task. This section first describes the hardware architecture and then formulates the control problem as a reinforcement learning (RL)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t>The platform improves safety by physically separating the robotic actuator from the patient. As shown in Fig. X, the system consists of three layers. The actuation layer places a UR10 robotic arm beneath the workspace, with a permanent magnet mounted on the end-effector to drive the microrobot above. The interaction layer is a 5-mm acrylic sheet that supports the unpowered magnetic microrobot and serves as a barrier between the arm and the patient. The perception layer uses an overhead RGB camera connected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t>This physical separation is central to the safety design. The acrylic interface reduces the risk of blunt impact, excessive traction, and crushing injuries that may occur in direct-contact rehabilitation devices. The hardware is also simple and reproducible: it requires a collaborative robot, a camera, and a permanent magnet, without wearable components, force sensors, or custom actuation modules. Because the microrobot is unpowered and driven passively by the magnetic field, it does not require onboard electronics or batteries. This simplicity facilitates setup and maintenance, and it provides an additional safety margin during the iterative development of data-driven controllers.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40"/>
      </w:pPr>
      <w: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Such goal-directed tracking can impose sustained cognitive and physical demands beyond point-to-point reaching and is relevant to motor recovery [X]. To maximize therapeutic benefit, task difficulty must adapt to the patient's current ability. We formalize this requirement using the Zone of Proximal Development (ZPD), which describes tasks that remain challenging but achievable with support [X]. In our setting, the ZPD corresponds to a target distance range between the hand and the microrobot. The robot should neither escape completely nor yield passively; instead, it should keep the interaction within this range so that the patient remains engaged without becoming fatigued or frustrated. This objective is challenging because patient movement speed, strategy, delay, and motor noise can vary over time.</w:t>
      </w:r>
    </w:p>
    <w:p w14:paraId="7B52DAD1" w14:textId="79C99EED" w:rsidR="0063051E" w:rsidRPr="0063051E" w:rsidRDefault="0063051E" w:rsidP="0063051E">
      <w:pPr>
        <w:spacing w:before="120" w:after="60"/>
        <w:ind w:firstLineChars="100" w:firstLine="240"/>
      </w:pPr>
      <w:r>
        <w:t>Conventional controllers are not well suited to this setting. Methods based on artificial potential fields or rule-based impedance control usually rely on hand-crafted responses to instantaneous state feedback. They therefore have limited ability to anticipate higher-level patient strategies, such as interception, or to adapt to heterogeneous movement patterns. Their performance may degrade further under tremor, delayed response, or bradykinesia because they do not explicitly distinguish purposeful movement from involuntary perturbations. RL provides a natural framework for learning such adaptive behavior through repeated interaction. In our formulation, the robot learns an evasion policy that is rewarded for keeping the hand-microrobot distance within the therapeutic range and penalized for unsafe or uninformative behavior, such as escaping too far or being caught too easily. By conditioning the policy on temporal observations, the controller can infer patient intent from movement history rather than reacting only to instantaneous position error. The design choices in Section IV--domain randomization, temporal encoding, and league training--address these sources of patient variability.</w:t>
      </w:r>
    </w:p>
    <w:p w14:paraId="3E0D2013" w14:textId="77777777" w:rsidR="00FE726F" w:rsidRDefault="00403576">
      <w:pPr>
        <w:spacing w:before="240" w:after="120"/>
        <w:jc w:val="center"/>
      </w:pPr>
      <w:r>
        <w:rPr>
          <w:b/>
        </w:rPr>
        <w:t>IV. METHODOLOGY</w:t>
      </w:r>
    </w:p>
    <w:p w14:paraId="5E2A157D" w14:textId="77777777" w:rsidR="00C908FC" w:rsidRDefault="001C6367">
      <w:pPr>
        <w:jc w:val="both"/>
      </w:pPr>
      <w:r>
        <w:t>This section describes the training framework. We first introduce Cognitive-Motor Decoupled Domain Randomization (CMD-DR), which separates patient movement strategy from motor execution limitations. We then present a dual-stream encoder with an auxiliary future-dynamics head for extracting motion information from noisy temporal observations. Finally, we describe a league-training procedure designed to improve robustness against a growing pool of hand behaviors.</w:t>
      </w:r>
    </w:p>
    <w:p w14:paraId="0F05EB57" w14:textId="77777777" w:rsidR="00FE726F" w:rsidRDefault="00403576">
      <w:pPr>
        <w:spacing w:before="120" w:after="60"/>
      </w:pPr>
      <w:r>
        <w:rPr>
          <w:b/>
          <w:i/>
        </w:rPr>
        <w:t>A. Cognitive-Motor Decoupled Domain Randomization</w:t>
      </w:r>
    </w:p>
    <w:p w14:paraId="0F8749CF" w14:textId="77777777" w:rsidR="00C908FC" w:rsidRDefault="001C6367">
      <w:pPr>
        <w:jc w:val="both"/>
      </w:pPr>
      <w: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t>x_t = alpha x_{t-1} + (1 - alpha) u_t,   alpha in (0, 1).     (1)</w:t>
      </w:r>
    </w:p>
    <w:p w14:paraId="01955A97" w14:textId="77777777" w:rsidR="00C908FC" w:rsidRDefault="001C6367">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59C10FC5" w14:textId="77777777" w:rsidR="00C908FC" w:rsidRDefault="001C6367">
      <w:pPr>
        <w:jc w:val="both"/>
      </w:pPr>
      <w:r>
        <w:t>Delta x_t = clip(x_t - x_{t-1}, -a_max, a_max).     (2)</w:t>
      </w:r>
    </w:p>
    <w:p w14:paraId="5E86EC41" w14:textId="77777777" w:rsidR="00C908FC" w:rsidRDefault="001C6367">
      <w:pPr>
        <w:jc w:val="both"/>
      </w:pPr>
      <w: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b/>
                <w:sz w:val="18"/>
              </w:rPr>
              <w:t>Parameter</w:t>
            </w:r>
          </w:p>
        </w:tc>
        <w:tc>
          <w:tcPr>
            <w:tcW w:w="0" w:type="auto"/>
          </w:tcPr>
          <w:p w14:paraId="393B0906" w14:textId="77777777" w:rsidR="00C908FC" w:rsidRDefault="001C6367">
            <w:pPr>
              <w:jc w:val="center"/>
            </w:pPr>
            <w:r>
              <w:rPr>
                <w:b/>
                <w:sz w:val="18"/>
              </w:rPr>
              <w:t>Symbol</w:t>
            </w:r>
          </w:p>
        </w:tc>
        <w:tc>
          <w:tcPr>
            <w:tcW w:w="0" w:type="auto"/>
          </w:tcPr>
          <w:p w14:paraId="28D5F6EF" w14:textId="77777777" w:rsidR="00C908FC" w:rsidRDefault="001C6367">
            <w:pPr>
              <w:jc w:val="center"/>
            </w:pPr>
            <w:r>
              <w:rPr>
                <w:b/>
                <w:sz w:val="18"/>
              </w:rPr>
              <w:t>Range</w:t>
            </w:r>
          </w:p>
        </w:tc>
      </w:tr>
      <w:tr w:rsidR="00C908FC" w14:paraId="5A7B2439" w14:textId="77777777">
        <w:trPr>
          <w:jc w:val="center"/>
        </w:trPr>
        <w:tc>
          <w:tcPr>
            <w:tcW w:w="0" w:type="auto"/>
          </w:tcPr>
          <w:p w14:paraId="43986B5B" w14:textId="77777777" w:rsidR="00C908FC" w:rsidRDefault="001C6367">
            <w:pPr>
              <w:jc w:val="center"/>
            </w:pPr>
            <w:r>
              <w:rPr>
                <w:sz w:val="18"/>
              </w:rPr>
              <w:t>Muscle inertia</w:t>
            </w:r>
          </w:p>
        </w:tc>
        <w:tc>
          <w:tcPr>
            <w:tcW w:w="0" w:type="auto"/>
          </w:tcPr>
          <w:p w14:paraId="495B5694" w14:textId="77777777" w:rsidR="00C908FC" w:rsidRDefault="001C6367">
            <w:pPr>
              <w:jc w:val="center"/>
            </w:pPr>
            <w:r>
              <w:rPr>
                <w:sz w:val="18"/>
              </w:rPr>
              <w:t>alpha</w:t>
            </w:r>
          </w:p>
        </w:tc>
        <w:tc>
          <w:tcPr>
            <w:tcW w:w="0" w:type="auto"/>
          </w:tcPr>
          <w:p w14:paraId="50154168" w14:textId="77777777" w:rsidR="00C908FC" w:rsidRDefault="001C6367">
            <w:pPr>
              <w:jc w:val="center"/>
            </w:pPr>
            <w:r>
              <w:rPr>
                <w:sz w:val="18"/>
              </w:rPr>
              <w:t>0.7</w:t>
            </w:r>
          </w:p>
        </w:tc>
      </w:tr>
      <w:tr w:rsidR="00C908FC" w14:paraId="742696D0" w14:textId="77777777">
        <w:trPr>
          <w:jc w:val="center"/>
        </w:trPr>
        <w:tc>
          <w:tcPr>
            <w:tcW w:w="0" w:type="auto"/>
          </w:tcPr>
          <w:p w14:paraId="412978B2" w14:textId="77777777" w:rsidR="00C908FC" w:rsidRDefault="001C6367">
            <w:pPr>
              <w:jc w:val="center"/>
            </w:pPr>
            <w:r>
              <w:rPr>
                <w:sz w:val="18"/>
              </w:rPr>
              <w:t>Maximum acceleration</w:t>
            </w:r>
          </w:p>
        </w:tc>
        <w:tc>
          <w:tcPr>
            <w:tcW w:w="0" w:type="auto"/>
          </w:tcPr>
          <w:p w14:paraId="6F082445" w14:textId="77777777" w:rsidR="00C908FC" w:rsidRDefault="001C6367">
            <w:pPr>
              <w:jc w:val="center"/>
            </w:pPr>
            <w:r>
              <w:rPr>
                <w:sz w:val="18"/>
              </w:rPr>
              <w:t>a_max</w:t>
            </w:r>
          </w:p>
        </w:tc>
        <w:tc>
          <w:tcPr>
            <w:tcW w:w="0" w:type="auto"/>
          </w:tcPr>
          <w:p w14:paraId="26646294" w14:textId="77777777" w:rsidR="00C908FC" w:rsidRDefault="001C6367">
            <w:pPr>
              <w:jc w:val="center"/>
            </w:pPr>
            <w:r>
              <w:rPr>
                <w:sz w:val="18"/>
              </w:rPr>
              <w:t>0.15</w:t>
            </w:r>
          </w:p>
        </w:tc>
      </w:tr>
      <w:tr w:rsidR="00C908FC" w14:paraId="29D749E3" w14:textId="77777777">
        <w:trPr>
          <w:jc w:val="center"/>
        </w:trPr>
        <w:tc>
          <w:tcPr>
            <w:tcW w:w="0" w:type="auto"/>
          </w:tcPr>
          <w:p w14:paraId="07749B9B" w14:textId="77777777" w:rsidR="00C908FC" w:rsidRDefault="001C6367">
            <w:pPr>
              <w:jc w:val="center"/>
            </w:pPr>
            <w:r>
              <w:rPr>
                <w:sz w:val="18"/>
              </w:rPr>
              <w:t>Gaussian observation noise</w:t>
            </w:r>
          </w:p>
        </w:tc>
        <w:tc>
          <w:tcPr>
            <w:tcW w:w="0" w:type="auto"/>
          </w:tcPr>
          <w:p w14:paraId="1F824E78" w14:textId="77777777" w:rsidR="00C908FC" w:rsidRDefault="001C6367">
            <w:pPr>
              <w:jc w:val="center"/>
            </w:pPr>
            <w:r>
              <w:rPr>
                <w:sz w:val="18"/>
              </w:rPr>
              <w:t>sigma</w:t>
            </w:r>
          </w:p>
        </w:tc>
        <w:tc>
          <w:tcPr>
            <w:tcW w:w="0" w:type="auto"/>
          </w:tcPr>
          <w:p w14:paraId="65091E2B" w14:textId="77777777" w:rsidR="00C908FC" w:rsidRDefault="001C6367">
            <w:pPr>
              <w:jc w:val="center"/>
            </w:pPr>
            <w:r>
              <w:rPr>
                <w:sz w:val="18"/>
              </w:rPr>
              <w:t>U(0.01, 0.08)</w:t>
            </w:r>
          </w:p>
        </w:tc>
      </w:tr>
      <w:tr w:rsidR="00C908FC" w14:paraId="487C6C53" w14:textId="77777777">
        <w:trPr>
          <w:jc w:val="center"/>
        </w:trPr>
        <w:tc>
          <w:tcPr>
            <w:tcW w:w="0" w:type="auto"/>
          </w:tcPr>
          <w:p w14:paraId="433A6361" w14:textId="77777777" w:rsidR="00C908FC" w:rsidRDefault="001C6367">
            <w:pPr>
              <w:jc w:val="center"/>
            </w:pPr>
            <w:r>
              <w:rPr>
                <w:sz w:val="18"/>
              </w:rPr>
              <w:t>Neural delay</w:t>
            </w:r>
          </w:p>
        </w:tc>
        <w:tc>
          <w:tcPr>
            <w:tcW w:w="0" w:type="auto"/>
          </w:tcPr>
          <w:p w14:paraId="320358E1" w14:textId="77777777" w:rsidR="00C908FC" w:rsidRDefault="001C6367">
            <w:pPr>
              <w:jc w:val="center"/>
            </w:pPr>
            <w:r>
              <w:rPr>
                <w:sz w:val="18"/>
              </w:rPr>
              <w:t>delta</w:t>
            </w:r>
          </w:p>
        </w:tc>
        <w:tc>
          <w:tcPr>
            <w:tcW w:w="0" w:type="auto"/>
          </w:tcPr>
          <w:p w14:paraId="45758502" w14:textId="77777777" w:rsidR="00C908FC" w:rsidRDefault="001C6367">
            <w:pPr>
              <w:jc w:val="center"/>
            </w:pPr>
            <w:r>
              <w:rPr>
                <w:sz w:val="18"/>
              </w:rPr>
              <w:t>0-3 frames (0-375 ms)</w:t>
            </w:r>
          </w:p>
        </w:tc>
      </w:tr>
    </w:tbl>
    <w:p w14:paraId="3AA543CD" w14:textId="77777777" w:rsidR="00FE726F" w:rsidRDefault="00403576">
      <w:pPr>
        <w:spacing w:before="120" w:after="60"/>
      </w:pPr>
      <w:r>
        <w:t>B. Dual-Stream Encoder with Future Dynamics Head</w:t>
      </w:r>
    </w:p>
    <w:p w14:paraId="68549ABF" w14:textId="77777777" w:rsidR="00C908FC" w:rsidRDefault="001C6367">
      <w:pPr>
        <w:jc w:val="both"/>
      </w:pPr>
      <w:r>
        <w:t>A single frame is often insufficient for inferring patient intent. Observed hand motion may reflect sensing noise, motor delay, tremor-like perturbations, or slow response, rather than deliberate pursuit. We therefore use a dual-stream encoder with an auxiliary prediction task, as shown in Fig. X.</w:t>
      </w:r>
    </w:p>
    <w:p w14:paraId="10C16F20" w14:textId="77777777" w:rsidR="00C908FC" w:rsidRDefault="001C6367">
      <w:pPr>
        <w:jc w:val="both"/>
      </w:pPr>
      <w: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t>o_t = [s_t ; h_{t-T:t}].     (3)</w:t>
      </w:r>
    </w:p>
    <w:p w14:paraId="526F11BA" w14:textId="77777777" w:rsidR="00C908FC" w:rsidRDefault="001C6367">
      <w:pPr>
        <w:jc w:val="both"/>
      </w:pPr>
      <w:r>
        <w:rPr>
          <w:sz w:val="24"/>
          <w:szCs w:val="24"/>
        </w:rPr>
        <w:t>The scalar vector is defined as:</w:t>
      </w:r>
    </w:p>
    <w:p w14:paraId="0A07EE48" w14:textId="77777777" w:rsidR="00C908FC" w:rsidRDefault="001C6367">
      <w:pPr>
        <w:jc w:val="both"/>
      </w:pPr>
      <w:r>
        <w:t>s_t = [p_R; p_H; d(R,H); b_N, b_S, b_E, b_W; stride; a_{t-1}].     (4)</w:t>
      </w:r>
    </w:p>
    <w:p w14:paraId="6D4CEE3C" w14:textId="77777777" w:rsidR="00C908FC" w:rsidRDefault="001C6367">
      <w:pPr>
        <w:jc w:val="both"/>
      </w:pPr>
      <w:r>
        <w:rPr>
          <w:sz w:val="24"/>
          <w:szCs w:val="24"/>
        </w:rPr>
        <w:t xml:space="preserve">where </w:t>
      </w:r>
      <w:r>
        <w:rPr>
          <w:sz w:val="24"/>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t>The temporal buffer h_{t-T:t} contains the T = 16 most recent relative hand displacement vectors, forming a 32-dimensional sequence. This buffer captures velocity, acceleration, and repeated movement patterns that are unavailable from the current position alone. The scalar vector is processed by a Multi-Layer Perceptron (MLP) to extract geometric information. In parallel, the temporal buffer is processed by a Gated Recurrent Unit (GRU) sequence encoder. Because the GRU operates on relative displacements rather than absolute positions, it emphasizes movement direction, speed, acceleration, and oscillation. The two stream outputs are concatenated and passed through a fusion MLP to produce a shared representation for policy and value prediction.</w:t>
      </w:r>
    </w:p>
    <w:p w14:paraId="632EA917" w14:textId="77777777" w:rsidR="00C908FC" w:rsidRDefault="001C6367">
      <w:pPr>
        <w:jc w:val="both"/>
      </w:pPr>
      <w: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t>L_traj = E[||D_hat_{t+1:t+H} - D_{t+1:t+H}||_2^2],   H = 8.     (5)</w:t>
      </w:r>
    </w:p>
    <w:p w14:paraId="46BDA52B" w14:textId="77777777" w:rsidR="00C908FC" w:rsidRDefault="001C6367">
      <w:pPr>
        <w:jc w:val="both"/>
      </w:pPr>
      <w: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t>L_total = L_PPO + lambda_traj L_traj + lambda_risk L_risk.     (6)</w:t>
      </w:r>
    </w:p>
    <w:p w14:paraId="78E016AE" w14:textId="77777777" w:rsidR="00C908FC" w:rsidRDefault="001C6367">
      <w:pPr>
        <w:jc w:val="both"/>
      </w:pPr>
      <w: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b/>
          <w:i/>
        </w:rPr>
        <w:t>C. League Training</w:t>
      </w:r>
    </w:p>
    <w:p w14:paraId="47D30B1E" w14:textId="77777777" w:rsidR="00C908FC" w:rsidRDefault="001C6367">
      <w:pPr>
        <w:jc w:val="both"/>
      </w:pPr>
      <w: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sz w:val="24"/>
          <w:szCs w:val="24"/>
        </w:rPr>
        <w:t>Algorithm 1: Iterative League Training</w:t>
      </w:r>
    </w:p>
    <w:p w14:paraId="586CD185" w14:textId="77777777" w:rsidR="00C908FC" w:rsidRDefault="001C6367">
      <w:pPr>
        <w:jc w:val="both"/>
      </w:pPr>
      <w:r>
        <w:rPr>
          <w:sz w:val="24"/>
          <w:szCs w:val="24"/>
        </w:rPr>
        <w:t>Initialize: opponent pool P &lt;- {pi_H^script}, robot policy pi_R^(0)</w:t>
      </w:r>
    </w:p>
    <w:p w14:paraId="61AEAF3C" w14:textId="77777777" w:rsidR="00C908FC" w:rsidRDefault="001C6367">
      <w:pPr>
        <w:jc w:val="both"/>
      </w:pPr>
      <w:r>
        <w:rPr>
          <w:sz w:val="24"/>
          <w:szCs w:val="24"/>
        </w:rPr>
        <w:t>for n = 1, 2, ..., N do</w:t>
      </w:r>
    </w:p>
    <w:p w14:paraId="05857B6C" w14:textId="77777777" w:rsidR="00C908FC" w:rsidRDefault="001C6367">
      <w:pPr>
        <w:jc w:val="both"/>
      </w:pPr>
      <w:r>
        <w:rPr>
          <w:sz w:val="24"/>
          <w:szCs w:val="24"/>
        </w:rPr>
        <w:t xml:space="preserve">    // Robot phase (pool frozen)</w:t>
      </w:r>
    </w:p>
    <w:p w14:paraId="6CDCA3EA" w14:textId="77777777" w:rsidR="00C908FC" w:rsidRDefault="001C6367">
      <w:pPr>
        <w:jc w:val="both"/>
      </w:pPr>
      <w:r>
        <w:rPr>
          <w:sz w:val="24"/>
          <w:szCs w:val="24"/>
        </w:rPr>
        <w:t xml:space="preserve">    Train pi_R^(n) via PPO against opponents sampled</w:t>
      </w:r>
    </w:p>
    <w:p w14:paraId="6789455C" w14:textId="77777777" w:rsidR="00C908FC" w:rsidRDefault="001C6367">
      <w:pPr>
        <w:jc w:val="both"/>
      </w:pPr>
      <w:r>
        <w:rPr>
          <w:sz w:val="24"/>
          <w:szCs w:val="24"/>
        </w:rPr>
        <w:t xml:space="preserve">    from P using prioritized distribution P(i)</w:t>
      </w:r>
    </w:p>
    <w:p w14:paraId="1836D648" w14:textId="77777777" w:rsidR="00C908FC" w:rsidRDefault="001C6367">
      <w:pPr>
        <w:jc w:val="both"/>
      </w:pPr>
      <w:r>
        <w:rPr>
          <w:sz w:val="24"/>
          <w:szCs w:val="24"/>
        </w:rPr>
        <w:t xml:space="preserve">    // Hand phase (robot frozen)</w:t>
      </w:r>
    </w:p>
    <w:p w14:paraId="0AC7454D" w14:textId="77777777" w:rsidR="00C908FC" w:rsidRDefault="001C6367">
      <w:pPr>
        <w:jc w:val="both"/>
      </w:pPr>
      <w:r>
        <w:rPr>
          <w:sz w:val="24"/>
          <w:szCs w:val="24"/>
        </w:rPr>
        <w:t xml:space="preserve">    Warm-start pi_H^(n) from pi_H^(n-1), fine-tune</w:t>
      </w:r>
    </w:p>
    <w:p w14:paraId="19BA56D8" w14:textId="77777777" w:rsidR="00C908FC" w:rsidRDefault="001C6367">
      <w:pPr>
        <w:jc w:val="both"/>
      </w:pPr>
      <w:r>
        <w:rPr>
          <w:sz w:val="24"/>
          <w:szCs w:val="24"/>
        </w:rPr>
        <w:t xml:space="preserve">    against frozen pi_R^(n)</w:t>
      </w:r>
    </w:p>
    <w:p w14:paraId="1CA254F8" w14:textId="77777777" w:rsidR="00C908FC" w:rsidRDefault="001C6367">
      <w:pPr>
        <w:jc w:val="both"/>
      </w:pPr>
      <w:r>
        <w:rPr>
          <w:sz w:val="24"/>
          <w:szCs w:val="24"/>
        </w:rPr>
        <w:t xml:space="preserve">    P &lt;- P union {pi_H^(n)}</w:t>
      </w:r>
    </w:p>
    <w:p w14:paraId="1AA25FEC" w14:textId="77777777" w:rsidR="00C908FC" w:rsidRDefault="001C6367">
      <w:pPr>
        <w:jc w:val="both"/>
      </w:pPr>
      <w:r>
        <w:rPr>
          <w:sz w:val="24"/>
          <w:szCs w:val="24"/>
        </w:rPr>
        <w:t>end for</w:t>
      </w:r>
    </w:p>
    <w:p w14:paraId="6246B28E" w14:textId="77777777" w:rsidR="00C908FC" w:rsidRDefault="001C6367">
      <w:pPr>
        <w:jc w:val="both"/>
      </w:pPr>
      <w: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t>P(i) propto f(w_i),  f(w) = 1 / (1 + exp(-k * (eta - |w - 0.5|))).     (7)</w:t>
      </w:r>
    </w:p>
    <w:p w14:paraId="325A4EFE" w14:textId="77777777" w:rsidR="00C908FC" w:rsidRDefault="001C6367">
      <w:pPr>
        <w:jc w:val="both"/>
      </w:pPr>
      <w: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w:t>
      </w:r>
      <w:r>
        <w:rPr>
          <w:sz w:val="24"/>
          <w:szCs w:val="24"/>
        </w:rPr>
        <w:t>To reduce this risk, a fixed probability p_s is always assigned to the heuristic scripted hand policy. This ensures that the robot remains exposed to simple, noisy pursuit behavior, which is closer to the behavior expected from real patients.</w:t>
      </w:r>
    </w:p>
    <w:p>
      <w:r>
        <w:rPr>
          <w:b/>
        </w:rPr>
        <w:t>VI. EXPERIMENTS AND RESULTS</w:t>
      </w:r>
    </w:p>
    <w:p>
      <w:r>
        <w:t>The simulation study targets the main sources of uncertainty that the controller must handle before physical deployment. We first test whether iterative league training yields a robot policy that remains effective across a growing set of learned hand behaviors. We then isolate the role of temporal interaction history and auxiliary future-dynamics supervision through a controlled network ablation. Finally, we compare representative robot policies under two automated hand-control mechanisms to assess generalization across pursuit strategies.</w:t>
      </w:r>
    </w:p>
    <w:p>
      <w:r>
        <w:rPr>
          <w:b/>
        </w:rPr>
        <w:t>A. League Training Robustness</w:t>
      </w:r>
    </w:p>
    <w:p>
      <w:r>
        <w:t>The league experiment uses a ZPD band of 3.5-5.5 workspace units and trains ten robot generations without providing an explicit opponent identity. Opponent identity is withheld to reflect the real-world condition in which patient capability cannot be directly observed. Each robot generation is evaluated against the learned hand pool and a scripted pursuit controller. Time-In-Zone (TIS), defined as the fraction of interaction time spent inside the ZPD band, is used as the main robustness metric. Mean and worst-case TIS are both reported, since a controller that excels on average may still fail for patients with atypical movement patterns.</w:t>
      </w:r>
    </w:p>
    <w:p>
      <w:r>
        <w:t>Fig. 1 shows that robustness improves as the opponent pool becomes more diverse. The final-generation robot achieves the strongest overall performance against learned hands, and the improvement appears in both the mean TIS curve and the worst-case trend. This distinction matters for rehabilitation because a policy that performs well on average may still fail for patients with difficult or atypical movement patterns. The league result therefore suggests that opponent accumulation improves lower-tail performance rather than optimizing for an easy subset of virtual patients.</w:t>
      </w:r>
    </w:p>
    <w:p>
      <w:r>
        <w:t>The sorted empirical matrix gives a complementary view of this trend. Early robot generations perform well only against a limited portion of the hand pool, whereas later generations maintain useful ZPD interaction across a broader range of opponent difficulty. The scripted-hand evaluation remains useful as a consistency check, but it is less diagnostic than the learned-hand matrix because it does not expose strategy-dependent failures. This motivates league-trained virtual patients as a stress-test distribution for adaptive rehabilitation policies.</w:t>
      </w:r>
    </w:p>
    <w:p>
      <w:pPr>
        <w:jc w:val="center"/>
      </w:pPr>
      <w: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i/>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b/>
        </w:rPr>
        <w:t>B. GRU Network Ablation</w:t>
      </w:r>
    </w:p>
    <w:p>
      <w:r>
        <w:t>The architecture ablation compares three robot policy encoders under the same mixed-opponent protocol. The MLP baseline observes the current geometric state but does not explicitly encode recent interaction history. The GRU variant adds a temporal sequence encoder over the 16-frame relative-displacement buffer, allowing the policy to infer hand velocity, response delay, and pursuit tendency. The GRU+Aux variant further augments this recurrent representation with the auxiliary future-prediction objective described in Section IV-B. This comparison is designed to distinguish whether performance gains arise primarily from temporal memory or from the additional self-supervised prediction signal.</w:t>
      </w:r>
    </w:p>
    <w:p>
      <w:r>
        <w:t>Fig. 2 summarizes the ablation. The main improvement occurs when temporal interaction history is introduced: both recurrent policies learn longer and more rewarding interactions than the MLP baseline. This indicates that the controller benefits from observing how the hand has been moving, not only where it is at the current instant. The auxiliary variant follows a trajectory close to the GRU-only policy in the aggregate training curves, suggesting that temporal sequence modeling is the dominant contributor to control performance in this setting, while the auxiliary objective primarily shapes the representation.</w:t>
      </w:r>
    </w:p>
    <w:p>
      <w:r>
        <w:t>The auxiliary prediction results clarify what the temporal representation has learned. The predicted trajectories capture short-horizon movement direction and progressively diverge at longer horizons, consistent with the uncertainty of multi-step forecasting in an interactive task. In this run, the auxiliary task does not act as an independent source of policy improvement. Instead, it encourages and diagnoses patient-dynamics representation.</w:t>
      </w:r>
    </w:p>
    <w:p>
      <w:pPr>
        <w:jc w:val="center"/>
      </w:pPr>
      <w: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i/>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b/>
        </w:rPr>
        <w:t>C. Policy Comparison on Scripted and Learned-Agent Hands</w:t>
      </w:r>
    </w:p>
    <w:p>
      <w:r>
        <w:t>The final comparison evaluates whether the learned robot behavior transfers across hand-control mechanisms. The scripted controller represents noisy rule-based pursuit, whereas the learned hand agent can exploit interaction patterns acquired through RL training. A robust rehabilitation controller should not be tuned exclusively to either case; it should maintain useful interaction as hand behavior shifts between rule-based and learned pursuit.</w:t>
      </w:r>
    </w:p>
    <w:p>
      <w:r>
        <w:rPr>
          <w:b/>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t>Robot policy</w:t>
            </w:r>
          </w:p>
        </w:tc>
        <w:tc>
          <w:tcPr>
            <w:tcW w:type="dxa" w:w="2769"/>
          </w:tcPr>
          <w:p>
            <w:r>
              <w:t>Scripted hand</w:t>
            </w:r>
          </w:p>
        </w:tc>
        <w:tc>
          <w:tcPr>
            <w:tcW w:type="dxa" w:w="2769"/>
          </w:tcPr>
          <w:p>
            <w:r>
              <w:t>Agent hand</w:t>
            </w:r>
          </w:p>
        </w:tc>
      </w:tr>
      <w:tr>
        <w:tc>
          <w:tcPr>
            <w:tcW w:type="dxa" w:w="2769"/>
          </w:tcPr>
          <w:p>
            <w:r>
              <w:t>Scripted-only</w:t>
            </w:r>
          </w:p>
        </w:tc>
        <w:tc>
          <w:tcPr>
            <w:tcW w:type="dxa" w:w="2769"/>
          </w:tcPr>
          <w:p>
            <w:r>
              <w:t>0.31 / 0.54 / 52 / 60%</w:t>
            </w:r>
          </w:p>
        </w:tc>
        <w:tc>
          <w:tcPr>
            <w:tcW w:type="dxa" w:w="2769"/>
          </w:tcPr>
          <w:p>
            <w:r>
              <w:t>0.19 / 0.54 / 31 / 90%</w:t>
            </w:r>
          </w:p>
        </w:tc>
      </w:tr>
      <w:tr>
        <w:tc>
          <w:tcPr>
            <w:tcW w:type="dxa" w:w="2769"/>
          </w:tcPr>
          <w:p>
            <w:r>
              <w:t>Single-agent</w:t>
            </w:r>
          </w:p>
        </w:tc>
        <w:tc>
          <w:tcPr>
            <w:tcW w:type="dxa" w:w="2769"/>
          </w:tcPr>
          <w:p>
            <w:r>
              <w:t>0.11 / 0.41 / 25 / 95%</w:t>
            </w:r>
          </w:p>
        </w:tc>
        <w:tc>
          <w:tcPr>
            <w:tcW w:type="dxa" w:w="2769"/>
          </w:tcPr>
          <w:p>
            <w:r>
              <w:t>0.49 / 0.60 / 70 / 38%</w:t>
            </w:r>
          </w:p>
        </w:tc>
      </w:tr>
      <w:tr>
        <w:tc>
          <w:tcPr>
            <w:tcW w:type="dxa" w:w="2769"/>
          </w:tcPr>
          <w:p>
            <w:r>
              <w:t>League</w:t>
            </w:r>
          </w:p>
        </w:tc>
        <w:tc>
          <w:tcPr>
            <w:tcW w:type="dxa" w:w="2769"/>
          </w:tcPr>
          <w:p>
            <w:r>
              <w:t>0.38 / 0.55 / 67 / 43%</w:t>
            </w:r>
          </w:p>
        </w:tc>
        <w:tc>
          <w:tcPr>
            <w:tcW w:type="dxa" w:w="2769"/>
          </w:tcPr>
          <w:p>
            <w:r>
              <w:t>0.48 / 0.65 / 64 / 48%</w:t>
            </w:r>
          </w:p>
        </w:tc>
      </w:tr>
    </w:tbl>
    <w:p>
      <w:r>
        <w:t>Table II reports TIS, ZPD coverage, episode length, and catch rate. The scripted-only baseline remains relatively effective on the scripted hand but is frequently caught by the learned agent. The single-agent baseline shows the opposite pattern, performing well against the learned hand while degrading on the scripted controller. These complementary failures indicate that training against a single opponent type can produce brittle specialization. The league-trained robot avoids the strongest form of either failure mode and provides the most balanced behavior across the two automated test conditions. Mouse-controlled human-in-the-loop evaluation is treated as a separate validation stage.</w:t>
      </w:r>
    </w:p>
    <w:p>
      <w:r>
        <w:rPr>
          <w:b/>
        </w:rPr>
        <w:t>D. Sim-to-Real Transfer</w:t>
      </w:r>
    </w:p>
    <w:p>
      <w:r>
        <w:t>Sim-to-real transfer in this system involves several compounding gaps. Real hand kinematics, camera latency, and magnetic actuation dynamics are not fully represented in the virtual training environment. We therefore treat physical deployment as a closed-loop feasibility study rather than a paired benchmark comparison. The implementation uses the same 44-dimensional observation structure as simulation: robot position from Real-Time Data Exchange (RTDE), hand and microrobot positions from the overhead camera, boundary features, previous action, and the displacement-history buffer.</w:t>
      </w:r>
    </w:p>
    <w:p>
      <w:r>
        <w:t>Perception and control run in separate threads to avoid jitter. The camera runs at 10-15 Hz, whereas the robot requires deterministic commands at a fixed control rate. If both processes ran in one thread, a slow You Only Look Once (YOLO) inference step could stall the control loop. 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w:t>
      </w:r>
    </w:p>
    <w:p>
      <w:r>
        <w:t>The 44-dimensional observation is assembled from the estimated hand position, the robot position obtained through RTDE, and the displacement-history buffer. The observation is then passed to the PPO policy. The resulting two-dimensional action is accumulated as a virtual target in pixel space, rate-limited to prevent abrupt per-step motion, and mapped to world coordinates through the inverse homography. The final pose is sent to the UR10 through the servoL interface with a 0.1-s lookahead time and a proportional gain of 400, yielding smooth end-effector tracking.</w:t>
      </w:r>
    </w:p>
    <w:sectPr w:rsidR="00C908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