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A3F75"/>
          <w:sz w:val="56"/>
          <w:szCs w:val="56"/>
        </w:rPr>
        <w:t xml:space="preserve">商业计划书</w:t>
      </w:r>
    </w:p>
    <w:p>
      <w:pPr>
        <w:spacing w:after="600"/>
        <w:jc w:val="center"/>
      </w:pPr>
      <w:r>
        <w:rPr>
          <w:rFonts w:ascii="Arial" w:cs="Arial" w:eastAsia="Arial" w:hAnsi="Arial"/>
          <w:color w:val="C09548"/>
          <w:sz w:val="36"/>
          <w:szCs w:val="36"/>
        </w:rPr>
        <w:t xml:space="preserve">Business Plan</w:t>
      </w:r>
    </w:p>
    <w:p>
      <w:pPr>
        <w:pBdr>
          <w:top w:val="single" w:color="2A3F75" w:sz="6" w:space="8"/>
        </w:pBdr>
        <w:spacing w:after="120"/>
        <w:jc w:val="center"/>
      </w:pPr>
      <w:r>
        <w:rPr>
          <w:rFonts w:ascii="Arial" w:cs="Arial" w:eastAsia="Arial" w:hAnsi="Arial"/>
          <w:b/>
          <w:bCs/>
          <w:sz w:val="32"/>
          <w:szCs w:val="32"/>
        </w:rPr>
        <w:t xml:space="preserve">基于强化学习的智能自适应上肢康复机器人系统</w:t>
      </w:r>
    </w:p>
    <w:p>
      <w:pPr>
        <w:spacing w:after="600"/>
        <w:jc w:val="center"/>
      </w:pPr>
      <w:r>
        <w:rPr>
          <w:rFonts w:ascii="Arial" w:cs="Arial" w:eastAsia="Arial" w:hAnsi="Arial"/>
          <w:color w:val="666666"/>
          <w:sz w:val="24"/>
          <w:szCs w:val="24"/>
        </w:rPr>
        <w:t xml:space="preserve">RL-Based Intelligent Adaptive Upper-Limb Rehabilitation Robot System</w:t>
      </w:r>
    </w:p>
    <w:p>
      <w:pPr>
        <w:spacing w:after="120"/>
        <w:jc w:val="center"/>
      </w:pPr>
      <w:r>
        <w:rPr>
          <w:rFonts w:ascii="Arial" w:cs="Arial" w:eastAsia="Arial" w:hAnsi="Arial"/>
          <w:sz w:val="24"/>
          <w:szCs w:val="24"/>
        </w:rPr>
        <w:t xml:space="preserve">参赛赛道：智能制造 / 医疗器械</w:t>
      </w:r>
    </w:p>
    <w:p>
      <w:pPr>
        <w:spacing w:after="120"/>
        <w:jc w:val="center"/>
      </w:pPr>
      <w:r>
        <w:rPr>
          <w:rFonts w:ascii="Arial" w:cs="Arial" w:eastAsia="Arial" w:hAnsi="Arial"/>
          <w:sz w:val="24"/>
          <w:szCs w:val="24"/>
        </w:rPr>
        <w:t xml:space="preserve">日期：2026年6月</w:t>
      </w:r>
    </w:p>
    <w:p>
      <w:pPr>
        <w:sectPr>
          <w:pgSz w:w="11906" w:h="16838" w:orient="portrait"/>
          <w:pgMar w:top="1440" w:right="1440" w:bottom="1440" w:left="1440" w:header="708" w:footer="708" w:gutter="0"/>
          <w:pgNumType/>
          <w:docGrid w:linePitch="360"/>
        </w:sectPr>
      </w:pPr>
    </w:p>
    <w:p>
      <w:pPr>
        <w:spacing w:after="400"/>
        <w:jc w:val="center"/>
      </w:pPr>
      <w:r>
        <w:rPr>
          <w:rFonts w:ascii="Arial" w:cs="Arial" w:eastAsia="Arial" w:hAnsi="Arial"/>
          <w:b/>
          <w:bCs/>
          <w:color w:val="2A3F75"/>
          <w:sz w:val="36"/>
          <w:szCs w:val="36"/>
        </w:rPr>
        <w:t xml:space="preserve">目  录</w:t>
      </w:r>
    </w:p>
    <w:sdt>
      <w:sdtPr/>
      <w:sdtContent>
        <w:p>
          <w:r>
            <w:fldChar w:fldCharType="begin" w:dirty="true"/>
            <w:instrText xml:space="preserve">TOC \h \o "1-2"</w:instrText>
            <w:fldChar w:fldCharType="separate"/>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一、执行摘要</w:t>
      </w:r>
    </w:p>
    <w:p>
      <w:pPr>
        <w:spacing w:after="120"/>
      </w:pPr>
      <w:r>
        <w:rPr>
          <w:rFonts w:ascii="Arial" w:cs="Arial" w:eastAsia="Arial" w:hAnsi="Arial"/>
          <w:sz w:val="24"/>
          <w:szCs w:val="24"/>
        </w:rPr>
        <w:t xml:space="preserve">本项目致力于研发一款基于深度强化学习的智能自适应上肢康复机器人系统。系统通过UR10协作机器人驱动磁性微机器人在桌面移动，引导患者手部追踪，利用强化学习算法实时感知患者运动能力并动态调整训练难度，将康复交互始终维持在患者的最佳学习区间（Zone of Proximal Development, ZPD）。</w:t>
      </w:r>
    </w:p>
    <w:p>
      <w:pPr>
        <w:spacing w:after="120"/>
      </w:pPr>
      <w:r>
        <w:rPr>
          <w:rFonts w:ascii="Arial" w:cs="Arial" w:eastAsia="Arial" w:hAnsi="Arial"/>
          <w:sz w:val="24"/>
          <w:szCs w:val="24"/>
        </w:rPr>
        <w:t xml:space="preserve">与传统固定轨迹康复设备不同，本系统无需治疗师手动调节参数，即可为每位患者提供个性化的康复训练方案。核心技术已通过IEEE论文级别的学术验证，具备从仿真到实机的零样本迁移能力，大幅降低部署成本。</w:t>
      </w:r>
    </w:p>
    <w:p>
      <w:pPr>
        <w:spacing w:after="120"/>
      </w:pPr>
      <w:r>
        <w:rPr>
          <w:rFonts w:ascii="Arial" w:cs="Arial" w:eastAsia="Arial" w:hAnsi="Arial"/>
          <w:sz w:val="24"/>
          <w:szCs w:val="24"/>
        </w:rPr>
        <w:t xml:space="preserve">产品定价15-30万元，仅为进口设备的1/3-1/5，面向基层医疗机构和康复中心推广，解决中国30万康复治疗师缺口带来的基层康复服务可及性难题。</w:t>
      </w:r>
    </w:p>
    <w:p>
      <w:pPr>
        <w:pStyle w:val="Heading1"/>
      </w:pPr>
      <w:r>
        <w:t xml:space="preserve">二、市场分析</w:t>
      </w:r>
    </w:p>
    <w:p>
      <w:pPr>
        <w:pStyle w:val="Heading2"/>
      </w:pPr>
      <w:r>
        <w:t xml:space="preserve">2.1 行业背景</w:t>
      </w:r>
    </w:p>
    <w:p>
      <w:pPr>
        <w:spacing w:after="120"/>
      </w:pPr>
      <w:r>
        <w:rPr>
          <w:rFonts w:ascii="Arial" w:cs="Arial" w:eastAsia="Arial" w:hAnsi="Arial"/>
          <w:sz w:val="24"/>
          <w:szCs w:val="24"/>
        </w:rPr>
        <w:t xml:space="preserve">中国康复医疗器械市场正处于快速增长期。据行业研究报告，2026年市场规模预计突破800亿元，年复合增长率超过25%。上肢康复机器人作为细分赛道，尚处于蓝海阶段，国产替代空间巨大。</w:t>
      </w:r>
    </w:p>
    <w:p>
      <w:pPr>
        <w:spacing w:after="120"/>
      </w:pPr>
      <w:r>
        <w:rPr>
          <w:rFonts w:ascii="Arial" w:cs="Arial" w:eastAsia="Arial" w:hAnsi="Arial"/>
          <w:sz w:val="24"/>
          <w:szCs w:val="24"/>
        </w:rPr>
        <w:t xml:space="preserve">驱动因素包括：</w:t>
      </w:r>
    </w:p>
    <w:p>
      <w:pPr>
        <w:pStyle w:val="ListParagraph"/>
        <w:numPr>
          <w:ilvl w:val="0"/>
          <w:numId w:val="2"/>
        </w:numPr>
      </w:pPr>
      <w:r>
        <w:rPr>
          <w:rFonts w:ascii="Arial" w:cs="Arial" w:eastAsia="Arial" w:hAnsi="Arial"/>
          <w:sz w:val="24"/>
          <w:szCs w:val="24"/>
        </w:rPr>
        <w:t xml:space="preserve">患者基数庞大：中国脑卒中患者超1300万，其中70%-80%存在上肢功能障碍</w:t>
      </w:r>
    </w:p>
    <w:p>
      <w:pPr>
        <w:pStyle w:val="ListParagraph"/>
        <w:numPr>
          <w:ilvl w:val="0"/>
          <w:numId w:val="2"/>
        </w:numPr>
      </w:pPr>
      <w:r>
        <w:rPr>
          <w:rFonts w:ascii="Arial" w:cs="Arial" w:eastAsia="Arial" w:hAnsi="Arial"/>
          <w:sz w:val="24"/>
          <w:szCs w:val="24"/>
        </w:rPr>
        <w:t xml:space="preserve">老龄化加速：60岁以上人口超2.8亿，康复需求持续增长</w:t>
      </w:r>
    </w:p>
    <w:p>
      <w:pPr>
        <w:pStyle w:val="ListParagraph"/>
        <w:numPr>
          <w:ilvl w:val="0"/>
          <w:numId w:val="2"/>
        </w:numPr>
      </w:pPr>
      <w:r>
        <w:rPr>
          <w:rFonts w:ascii="Arial" w:cs="Arial" w:eastAsia="Arial" w:hAnsi="Arial"/>
          <w:sz w:val="24"/>
          <w:szCs w:val="24"/>
        </w:rPr>
        <w:t xml:space="preserve">政策利好：国务院《十四五残疾人保障和发展规划》明确支持康复辅助器具创新</w:t>
      </w:r>
    </w:p>
    <w:p>
      <w:pPr>
        <w:pStyle w:val="ListParagraph"/>
        <w:numPr>
          <w:ilvl w:val="0"/>
          <w:numId w:val="2"/>
        </w:numPr>
        <w:spacing w:after="200"/>
      </w:pPr>
      <w:r>
        <w:rPr>
          <w:rFonts w:ascii="Arial" w:cs="Arial" w:eastAsia="Arial" w:hAnsi="Arial"/>
          <w:sz w:val="24"/>
          <w:szCs w:val="24"/>
        </w:rPr>
        <w:t xml:space="preserve">医保覆盖：康复项目逐步纳入报销范围，释放基层需求</w:t>
      </w:r>
    </w:p>
    <w:p>
      <w:pPr>
        <w:pStyle w:val="Heading2"/>
      </w:pPr>
      <w:r>
        <w:t xml:space="preserve">2.2 痛点分析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痛点</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现状描述</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本项目解决方案</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治疗师短缺</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缺口超30万人，基层无法开展规范康复训练</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AI替代治疗师完成难度调节，降低人力依赖</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个性化不足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固定轨迹设备无法适应不同患者能力</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强化学习实时感知并动态调整训练难度</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数据缺失</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凭经验判断恢复进度，缺乏量化依据</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全程记录运动轨迹、反应速度等客观指标</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成本高昂</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进口设备50-200万元/台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定价15-30万元，国产替代方案</w:t>
            </w:r>
          </w:p>
        </w:tc>
      </w:tr>
    </w:tbl>
    <w:p>
      <w:pPr>
        <w:pStyle w:val="Heading2"/>
      </w:pPr>
      <w:r>
        <w:t xml:space="preserve">2.3 竞争格局</w:t>
      </w:r>
    </w:p>
    <w:p>
      <w:pPr>
        <w:spacing w:after="120"/>
      </w:pPr>
      <w:r>
        <w:rPr>
          <w:rFonts w:ascii="Arial" w:cs="Arial" w:eastAsia="Arial" w:hAnsi="Arial"/>
          <w:sz w:val="24"/>
          <w:szCs w:val="24"/>
        </w:rPr>
        <w:t xml:space="preserve">当前国内康复机器人市场主要参与者包括：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企业</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产品特点</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价格区间</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局限性</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傅利叶智能</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固定轨迹+阻抗控制</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30-80万</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缺乏自适应能力</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睿瀚医疗</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外骨骼式，力反馈</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50-150万</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价格高，部署复杂</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安杰莱科技</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末端牵引式</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20-60万</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训练模式单一</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本项目</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RL自适应+纯视觉</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15-30万</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临床验证待完成</w:t>
            </w:r>
          </w:p>
        </w:tc>
      </w:tr>
    </w:tbl>
    <w:p>
      <w:pPr>
        <w:spacing w:after="120"/>
      </w:pPr>
      <w:r>
        <w:rPr>
          <w:rFonts w:ascii="Arial" w:cs="Arial" w:eastAsia="Arial" w:hAnsi="Arial"/>
          <w:sz w:val="24"/>
          <w:szCs w:val="24"/>
        </w:rPr>
        <w:t xml:space="preserve">本项目的核心差异化在于：基于强化学习的自适应能力 + 纯视觉方案（无需力传感器）+ Sim-to-Real零样本迁移，三者结合实现了低成本、高智能、易部署的独特定位。</w:t>
      </w:r>
    </w:p>
    <w:p>
      <w:pPr>
        <w:pStyle w:val="Heading1"/>
      </w:pPr>
      <w:r>
        <w:t xml:space="preserve">三、产品与技术方案</w:t>
      </w:r>
    </w:p>
    <w:p>
      <w:pPr>
        <w:pStyle w:val="Heading2"/>
      </w:pPr>
      <w:r>
        <w:t xml:space="preserve">3.1 产品概述</w:t>
      </w:r>
    </w:p>
    <w:p>
      <w:pPr>
        <w:spacing w:after="120"/>
      </w:pPr>
      <w:r>
        <w:rPr>
          <w:rFonts w:ascii="Arial" w:cs="Arial" w:eastAsia="Arial" w:hAnsi="Arial"/>
          <w:sz w:val="24"/>
          <w:szCs w:val="24"/>
        </w:rPr>
        <w:t xml:space="preserve">本系统由三部分组成：</w:t>
      </w:r>
    </w:p>
    <w:p>
      <w:pPr>
        <w:spacing w:after="120"/>
      </w:pPr>
      <w:r>
        <w:rPr>
          <w:rFonts w:ascii="Arial" w:cs="Arial" w:eastAsia="Arial" w:hAnsi="Arial"/>
          <w:b/>
          <w:bCs/>
          <w:sz w:val="24"/>
          <w:szCs w:val="24"/>
        </w:rPr>
        <w:t xml:space="preserve">硬件平台：</w:t>
      </w:r>
      <w:r>
        <w:rPr>
          <w:rFonts w:ascii="Arial" w:cs="Arial" w:eastAsia="Arial" w:hAnsi="Arial"/>
          <w:sz w:val="24"/>
          <w:szCs w:val="24"/>
        </w:rPr>
        <w:t xml:space="preserve">UR10协作机器人 + 磁性微机器人 + 摄像头模组。UR10通过RTDE接口接收控制指令，驱动磁性微机器人在桌面移动，引导患者手部追踪。</w:t>
      </w:r>
    </w:p>
    <w:p>
      <w:pPr>
        <w:spacing w:after="120"/>
      </w:pPr>
      <w:r>
        <w:rPr>
          <w:rFonts w:ascii="Arial" w:cs="Arial" w:eastAsia="Arial" w:hAnsi="Arial"/>
          <w:b/>
          <w:bCs/>
          <w:sz w:val="24"/>
          <w:szCs w:val="24"/>
        </w:rPr>
        <w:t xml:space="preserve">智能算法：</w:t>
      </w:r>
      <w:r>
        <w:rPr>
          <w:rFonts w:ascii="Arial" w:cs="Arial" w:eastAsia="Arial" w:hAnsi="Arial"/>
          <w:sz w:val="24"/>
          <w:szCs w:val="24"/>
        </w:rPr>
        <w:t xml:space="preserve">基于PPO（Proximal Policy Optimization）的强化学习策略网络，以20Hz频率推理，输入44维观测向量（12维空间状态 + 32维时序位移历史），输出机器人运动指令。</w:t>
      </w:r>
    </w:p>
    <w:p>
      <w:pPr>
        <w:spacing w:after="120"/>
      </w:pPr>
      <w:r>
        <w:rPr>
          <w:rFonts w:ascii="Arial" w:cs="Arial" w:eastAsia="Arial" w:hAnsi="Arial"/>
          <w:b/>
          <w:bCs/>
          <w:sz w:val="24"/>
          <w:szCs w:val="24"/>
        </w:rPr>
        <w:t xml:space="preserve">视觉管线：</w:t>
      </w:r>
      <w:r>
        <w:rPr>
          <w:rFonts w:ascii="Arial" w:cs="Arial" w:eastAsia="Arial" w:hAnsi="Arial"/>
          <w:sz w:val="24"/>
          <w:szCs w:val="24"/>
        </w:rPr>
        <w:t xml:space="preserve">YOLO检测微机器人位置 + MediaPipe追踪手部关键点，10-15fps采集速率，视觉间隙由低通滤波速度的航位推算填补。</w:t>
      </w:r>
    </w:p>
    <w:p>
      <w:pPr>
        <w:pStyle w:val="Heading2"/>
      </w:pPr>
      <w:r>
        <w:t xml:space="preserve">3.2 四大核心技术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468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技术名称</w:t>
            </w:r>
          </w:p>
        </w:tc>
        <w:tc>
          <w:tcPr>
            <w:tcW w:type="dxa" w:w="468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技术内涵与创新点</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CMD-DR 域随机化</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认知-运动解耦的两层虚拟患者生成机制。第一层生成运动意图（脚本启发式或RL对手），第二层通过低通滤波(alpha=0.7)、加速度裁剪(a_max=0.15)、高斯噪声和神经延迟(0-3帧)模拟生物力学执行过程，覆盖从严重障碍到高功能的完整临床谱系。</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双流编码器+辅助动力学</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MLP处理空间状态，LSTM处理16帧相对位移历史（平移不变）。自监督前向动力学辅助头预测下一帧手部位移，密集梯度驱动LSTM内化患者隐含动力学特征（震颤、延迟、惯性）。</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联盟PFSP训练</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机器人与手部智能体交替训练（非同时）。手部累积进对手池，新世代从上一代热启动。优先级虚拟自博弈(PFSP)采样：按竞争平衡反比加权，概率下限0.05避免忽视任何对手。</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Sim-to-Real迁移</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异步视觉线程（相机速率）与固定速率控制线程(20Hz)解耦。航位推算填补视觉间隙。从仿真到UR10实机的零样本迁移，无需额外微调。</w:t>
            </w:r>
          </w:p>
        </w:tc>
      </w:tr>
    </w:tbl>
    <w:p>
      <w:pPr>
        <w:pStyle w:val="Heading2"/>
      </w:pPr>
      <w:r>
        <w:t xml:space="preserve">3.3 系统架构</w:t>
      </w:r>
    </w:p>
    <w:p>
      <w:pPr>
        <w:spacing w:after="120"/>
      </w:pPr>
      <w:r>
        <w:rPr>
          <w:rFonts w:ascii="Arial" w:cs="Arial" w:eastAsia="Arial" w:hAnsi="Arial"/>
          <w:sz w:val="24"/>
          <w:szCs w:val="24"/>
        </w:rPr>
        <w:t xml:space="preserve">系统采用三层架构：</w:t>
      </w:r>
    </w:p>
    <w:p>
      <w:pPr>
        <w:spacing w:after="120"/>
      </w:pPr>
      <w:r>
        <w:rPr>
          <w:rFonts w:ascii="Arial" w:cs="Arial" w:eastAsia="Arial" w:hAnsi="Arial"/>
          <w:b/>
          <w:bCs/>
          <w:sz w:val="24"/>
          <w:szCs w:val="24"/>
        </w:rPr>
        <w:t xml:space="preserve">感知层：</w:t>
      </w:r>
      <w:r>
        <w:rPr>
          <w:rFonts w:ascii="Arial" w:cs="Arial" w:eastAsia="Arial" w:hAnsi="Arial"/>
          <w:sz w:val="24"/>
          <w:szCs w:val="24"/>
        </w:rPr>
        <w:t xml:space="preserve">摄像头采集桌面图像，YOLO+MediaPipe实现目标检测与手部追踪，双目视觉融合实现亚毫米级定位精度。</w:t>
      </w:r>
    </w:p>
    <w:p>
      <w:pPr>
        <w:spacing w:after="120"/>
      </w:pPr>
      <w:r>
        <w:rPr>
          <w:rFonts w:ascii="Arial" w:cs="Arial" w:eastAsia="Arial" w:hAnsi="Arial"/>
          <w:b/>
          <w:bCs/>
          <w:sz w:val="24"/>
          <w:szCs w:val="24"/>
        </w:rPr>
        <w:t xml:space="preserve">决策层：</w:t>
      </w:r>
      <w:r>
        <w:rPr>
          <w:rFonts w:ascii="Arial" w:cs="Arial" w:eastAsia="Arial" w:hAnsi="Arial"/>
          <w:sz w:val="24"/>
          <w:szCs w:val="24"/>
        </w:rPr>
        <w:t xml:space="preserve">PPO策略网络以20Hz推理，结合双流编码器提取的空间与时序特征，输出最优运动指令。辅助前向动力学头提供自监督信号，增强特征表示。</w:t>
      </w:r>
    </w:p>
    <w:p>
      <w:pPr>
        <w:spacing w:after="120"/>
      </w:pPr>
      <w:r>
        <w:rPr>
          <w:rFonts w:ascii="Arial" w:cs="Arial" w:eastAsia="Arial" w:hAnsi="Arial"/>
          <w:b/>
          <w:bCs/>
          <w:sz w:val="24"/>
          <w:szCs w:val="24"/>
        </w:rPr>
        <w:t xml:space="preserve">执行层：</w:t>
      </w:r>
      <w:r>
        <w:rPr>
          <w:rFonts w:ascii="Arial" w:cs="Arial" w:eastAsia="Arial" w:hAnsi="Arial"/>
          <w:sz w:val="24"/>
          <w:szCs w:val="24"/>
        </w:rPr>
        <w:t xml:space="preserve">UR10协作机器人接收控制指令，驱动磁性微机器人移动。安全机制确保人机协作安全性。</w:t>
      </w:r>
    </w:p>
    <w:p>
      <w:pPr>
        <w:pStyle w:val="Heading2"/>
      </w:pPr>
      <w:r>
        <w:t xml:space="preserve">3.4 训练与验证</w:t>
      </w:r>
    </w:p>
    <w:p>
      <w:pPr>
        <w:spacing w:after="120"/>
      </w:pPr>
      <w:r>
        <w:rPr>
          <w:rFonts w:ascii="Arial" w:cs="Arial" w:eastAsia="Arial" w:hAnsi="Arial"/>
          <w:sz w:val="24"/>
          <w:szCs w:val="24"/>
        </w:rPr>
        <w:t xml:space="preserve">已完成的实验验证：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100"/>
        <w:gridCol w:w="2226"/>
      </w:tblGrid>
      <w:tr>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实验项目</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训练步数</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关键指标</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结论</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MLP Only基线</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8M步</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ZPD覆盖79.4%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收敛快但上限低</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MLP+LSTM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2.8M步</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ZPD覆盖69.3%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时序特征有帮助</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MLP+LSTM+AUX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8M步(规划)</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预期更优</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辅助梯度提升表示</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实机部署</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UR10平台</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零样本迁移成功</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Sim-to-Real验证</w:t>
            </w:r>
          </w:p>
        </w:tc>
      </w:tr>
    </w:tbl>
    <w:p>
      <w:pPr>
        <w:pStyle w:val="Heading1"/>
      </w:pPr>
      <w:r>
        <w:t xml:space="preserve">四、商业模式</w:t>
      </w:r>
    </w:p>
    <w:p>
      <w:pPr>
        <w:pStyle w:val="Heading2"/>
      </w:pPr>
      <w:r>
        <w:t xml:space="preserve">4.1 收入模式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800"/>
        <w:gridCol w:w="1826"/>
      </w:tblGrid>
      <w:tr>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收入来源</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描述</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定价</w:t>
            </w:r>
          </w:p>
        </w:tc>
        <w:tc>
          <w:tcPr>
            <w:tcW w:type="dxa" w:w="234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目标客户</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硬件销售</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整套康复机器人系统</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15-30万/台</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医院/康复中心</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软件订阅</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智能训练算法年费+增值服务</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3-5万/年</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已购硬件客户</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数据服务</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脱敏康复数据为药企/科研提供支持</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按项目</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药企/科研机构</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培训服务</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治疗师操作培训+方案设计培训</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0.5-1万/人次</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康复治疗师</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远程康复</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基于数据的远程指导平台</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按次/包年</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基层医疗机构</w:t>
            </w:r>
          </w:p>
        </w:tc>
      </w:tr>
    </w:tbl>
    <w:p>
      <w:pPr>
        <w:pStyle w:val="Heading2"/>
      </w:pPr>
      <w:r>
        <w:t xml:space="preserve">4.2 目标客户</w:t>
      </w:r>
    </w:p>
    <w:p>
      <w:pPr>
        <w:spacing w:after="120"/>
      </w:pPr>
      <w:r>
        <w:rPr>
          <w:rFonts w:ascii="Arial" w:cs="Arial" w:eastAsia="Arial" w:hAnsi="Arial"/>
          <w:b/>
          <w:bCs/>
          <w:sz w:val="24"/>
          <w:szCs w:val="24"/>
        </w:rPr>
        <w:t xml:space="preserve">一级客户（核心）：</w:t>
      </w:r>
      <w:r>
        <w:rPr>
          <w:rFonts w:ascii="Arial" w:cs="Arial" w:eastAsia="Arial" w:hAnsi="Arial"/>
          <w:sz w:val="24"/>
          <w:szCs w:val="24"/>
        </w:rPr>
        <w:t xml:space="preserve">二级及以上医院康复科、专业康复医院。采购决策快，支付能力强，是硬件销售的主要目标。</w:t>
      </w:r>
    </w:p>
    <w:p>
      <w:pPr>
        <w:spacing w:after="120"/>
      </w:pPr>
      <w:r>
        <w:rPr>
          <w:rFonts w:ascii="Arial" w:cs="Arial" w:eastAsia="Arial" w:hAnsi="Arial"/>
          <w:b/>
          <w:bCs/>
          <w:sz w:val="24"/>
          <w:szCs w:val="24"/>
        </w:rPr>
        <w:t xml:space="preserve">二级客户（增长）：</w:t>
      </w:r>
      <w:r>
        <w:rPr>
          <w:rFonts w:ascii="Arial" w:cs="Arial" w:eastAsia="Arial" w:hAnsi="Arial"/>
          <w:sz w:val="24"/>
          <w:szCs w:val="24"/>
        </w:rPr>
        <w:t xml:space="preserve">基层社区卫生服务中心、乡镇卫生院。通过远程康复平台降低使用门槛，以软件订阅模式切入。</w:t>
      </w:r>
    </w:p>
    <w:p>
      <w:pPr>
        <w:spacing w:after="120"/>
      </w:pPr>
      <w:r>
        <w:rPr>
          <w:rFonts w:ascii="Arial" w:cs="Arial" w:eastAsia="Arial" w:hAnsi="Arial"/>
          <w:b/>
          <w:bCs/>
          <w:sz w:val="24"/>
          <w:szCs w:val="24"/>
        </w:rPr>
        <w:t xml:space="preserve">三级客户（生态）：</w:t>
      </w:r>
      <w:r>
        <w:rPr>
          <w:rFonts w:ascii="Arial" w:cs="Arial" w:eastAsia="Arial" w:hAnsi="Arial"/>
          <w:sz w:val="24"/>
          <w:szCs w:val="24"/>
        </w:rPr>
        <w:t xml:space="preserve">养老机构、居家康复患者。通过远程康复平台提供服务，构建完整的康复服务生态。</w:t>
      </w:r>
    </w:p>
    <w:p>
      <w:pPr>
        <w:pStyle w:val="Heading2"/>
      </w:pPr>
      <w:r>
        <w:t xml:space="preserve">4.3 定价策略</w:t>
      </w:r>
    </w:p>
    <w:p>
      <w:pPr>
        <w:spacing w:after="120"/>
      </w:pPr>
      <w:r>
        <w:rPr>
          <w:rFonts w:ascii="Arial" w:cs="Arial" w:eastAsia="Arial" w:hAnsi="Arial"/>
          <w:sz w:val="24"/>
          <w:szCs w:val="24"/>
        </w:rPr>
        <w:t xml:space="preserve">采用渗透定价策略，以进口设备1/3-1/5的价格快速占领市场：</w:t>
      </w:r>
    </w:p>
    <w:p>
      <w:pPr>
        <w:pStyle w:val="ListParagraph"/>
        <w:numPr>
          <w:ilvl w:val="0"/>
          <w:numId w:val="2"/>
        </w:numPr>
      </w:pPr>
      <w:r>
        <w:rPr>
          <w:rFonts w:ascii="Arial" w:cs="Arial" w:eastAsia="Arial" w:hAnsi="Arial"/>
          <w:sz w:val="24"/>
          <w:szCs w:val="24"/>
        </w:rPr>
        <w:t xml:space="preserve">基础版（硬件+基础算法）：15万元/台，面向基层医疗机构</w:t>
      </w:r>
    </w:p>
    <w:p>
      <w:pPr>
        <w:pStyle w:val="ListParagraph"/>
        <w:numPr>
          <w:ilvl w:val="0"/>
          <w:numId w:val="2"/>
        </w:numPr>
      </w:pPr>
      <w:r>
        <w:rPr>
          <w:rFonts w:ascii="Arial" w:cs="Arial" w:eastAsia="Arial" w:hAnsi="Arial"/>
          <w:sz w:val="24"/>
          <w:szCs w:val="24"/>
        </w:rPr>
        <w:t xml:space="preserve">专业版（硬件+全功能算法+数据分析）：25万元/台，面向二级以上医院</w:t>
      </w:r>
    </w:p>
    <w:p>
      <w:pPr>
        <w:pStyle w:val="ListParagraph"/>
        <w:numPr>
          <w:ilvl w:val="0"/>
          <w:numId w:val="2"/>
        </w:numPr>
        <w:spacing w:after="200"/>
      </w:pPr>
      <w:r>
        <w:rPr>
          <w:rFonts w:ascii="Arial" w:cs="Arial" w:eastAsia="Arial" w:hAnsi="Arial"/>
          <w:sz w:val="24"/>
          <w:szCs w:val="24"/>
        </w:rPr>
        <w:t xml:space="preserve">旗舰版（双臂协作+远程指导+定制方案）：30万元/台，面向三甲医院/科研机构</w:t>
      </w:r>
    </w:p>
    <w:p>
      <w:pPr>
        <w:pStyle w:val="Heading1"/>
      </w:pPr>
      <w:r>
        <w:t xml:space="preserve">五、市场推广策略</w:t>
      </w:r>
    </w:p>
    <w:p>
      <w:pPr>
        <w:pStyle w:val="Heading2"/>
      </w:pPr>
      <w:r>
        <w:t xml:space="preserve">5.1 推广路径</w:t>
      </w:r>
    </w:p>
    <w:p>
      <w:pPr>
        <w:spacing w:after="120"/>
      </w:pPr>
      <w:r>
        <w:rPr>
          <w:rFonts w:ascii="Arial" w:cs="Arial" w:eastAsia="Arial" w:hAnsi="Arial"/>
          <w:sz w:val="24"/>
          <w:szCs w:val="24"/>
        </w:rPr>
        <w:t xml:space="preserve">采用标杆客户-区域代理-全国覆盖的三阶段推广策略：</w:t>
      </w:r>
    </w:p>
    <w:p>
      <w:pPr>
        <w:spacing w:after="120"/>
      </w:pPr>
      <w:r>
        <w:rPr>
          <w:rFonts w:ascii="Arial" w:cs="Arial" w:eastAsia="Arial" w:hAnsi="Arial"/>
          <w:b/>
          <w:bCs/>
          <w:sz w:val="24"/>
          <w:szCs w:val="24"/>
        </w:rPr>
        <w:t xml:space="preserve">第一阶段（1-2年）：</w:t>
      </w:r>
      <w:r>
        <w:rPr>
          <w:rFonts w:ascii="Arial" w:cs="Arial" w:eastAsia="Arial" w:hAnsi="Arial"/>
          <w:sz w:val="24"/>
          <w:szCs w:val="24"/>
        </w:rPr>
        <w:t xml:space="preserve">与3-5家三甲医院合作开展临床试验，建立学术影响力和临床证据。同步完成产品注册认证。</w:t>
      </w:r>
    </w:p>
    <w:p>
      <w:pPr>
        <w:spacing w:after="120"/>
      </w:pPr>
      <w:r>
        <w:rPr>
          <w:rFonts w:ascii="Arial" w:cs="Arial" w:eastAsia="Arial" w:hAnsi="Arial"/>
          <w:b/>
          <w:bCs/>
          <w:sz w:val="24"/>
          <w:szCs w:val="24"/>
        </w:rPr>
        <w:t xml:space="preserve">第二阶段（2-3年）：</w:t>
      </w:r>
      <w:r>
        <w:rPr>
          <w:rFonts w:ascii="Arial" w:cs="Arial" w:eastAsia="Arial" w:hAnsi="Arial"/>
          <w:sz w:val="24"/>
          <w:szCs w:val="24"/>
        </w:rPr>
        <w:t xml:space="preserve">以标杆案例为背书，在重点省份建立区域代理网络，覆盖二级以上医院康复科。</w:t>
      </w:r>
    </w:p>
    <w:p>
      <w:pPr>
        <w:spacing w:after="120"/>
      </w:pPr>
      <w:r>
        <w:rPr>
          <w:rFonts w:ascii="Arial" w:cs="Arial" w:eastAsia="Arial" w:hAnsi="Arial"/>
          <w:b/>
          <w:bCs/>
          <w:sz w:val="24"/>
          <w:szCs w:val="24"/>
        </w:rPr>
        <w:t xml:space="preserve">第三阶段（3-5年）：</w:t>
      </w:r>
      <w:r>
        <w:rPr>
          <w:rFonts w:ascii="Arial" w:cs="Arial" w:eastAsia="Arial" w:hAnsi="Arial"/>
          <w:sz w:val="24"/>
          <w:szCs w:val="24"/>
        </w:rPr>
        <w:t xml:space="preserve">通过远程康复平台向基层渗透，建立覆盖全国的销售和服务网络。</w:t>
      </w:r>
    </w:p>
    <w:p>
      <w:pPr>
        <w:pStyle w:val="Heading2"/>
      </w:pPr>
      <w:r>
        <w:t xml:space="preserve">5.2 营销渠道</w:t>
      </w:r>
    </w:p>
    <w:p>
      <w:pPr>
        <w:pStyle w:val="ListParagraph"/>
        <w:numPr>
          <w:ilvl w:val="0"/>
          <w:numId w:val="2"/>
        </w:numPr>
      </w:pPr>
      <w:r>
        <w:rPr>
          <w:rFonts w:ascii="Arial" w:cs="Arial" w:eastAsia="Arial" w:hAnsi="Arial"/>
          <w:sz w:val="24"/>
          <w:szCs w:val="24"/>
        </w:rPr>
        <w:t xml:space="preserve">学术推广：在康复医学核心期刊发表临床研究论文，参加国内外学术会议</w:t>
      </w:r>
    </w:p>
    <w:p>
      <w:pPr>
        <w:pStyle w:val="ListParagraph"/>
        <w:numPr>
          <w:ilvl w:val="0"/>
          <w:numId w:val="2"/>
        </w:numPr>
      </w:pPr>
      <w:r>
        <w:rPr>
          <w:rFonts w:ascii="Arial" w:cs="Arial" w:eastAsia="Arial" w:hAnsi="Arial"/>
          <w:sz w:val="24"/>
          <w:szCs w:val="24"/>
        </w:rPr>
        <w:t xml:space="preserve">行业展会：参加CMEF等医疗器械展会，现场演示系统功能</w:t>
      </w:r>
    </w:p>
    <w:p>
      <w:pPr>
        <w:pStyle w:val="ListParagraph"/>
        <w:numPr>
          <w:ilvl w:val="0"/>
          <w:numId w:val="2"/>
        </w:numPr>
      </w:pPr>
      <w:r>
        <w:rPr>
          <w:rFonts w:ascii="Arial" w:cs="Arial" w:eastAsia="Arial" w:hAnsi="Arial"/>
          <w:sz w:val="24"/>
          <w:szCs w:val="24"/>
        </w:rPr>
        <w:t xml:space="preserve">政府关系：对接残联、卫健委等政府部门，争取纳入政府采购目录</w:t>
      </w:r>
    </w:p>
    <w:p>
      <w:pPr>
        <w:pStyle w:val="ListParagraph"/>
        <w:numPr>
          <w:ilvl w:val="0"/>
          <w:numId w:val="2"/>
        </w:numPr>
        <w:spacing w:after="200"/>
      </w:pPr>
      <w:r>
        <w:rPr>
          <w:rFonts w:ascii="Arial" w:cs="Arial" w:eastAsia="Arial" w:hAnsi="Arial"/>
          <w:sz w:val="24"/>
          <w:szCs w:val="24"/>
        </w:rPr>
        <w:t xml:space="preserve">合作伙伴：与康复医疗器械经销商建立合作关系，借助其渠道资源</w:t>
      </w:r>
    </w:p>
    <w:p>
      <w:pPr>
        <w:pStyle w:val="Heading1"/>
      </w:pPr>
      <w:r>
        <w:t xml:space="preserve">六、团队介绍</w:t>
      </w:r>
    </w:p>
    <w:p>
      <w:pPr>
        <w:pStyle w:val="Heading2"/>
      </w:pPr>
      <w:r>
        <w:t xml:space="preserve">6.1 核心团队</w:t>
      </w:r>
    </w:p>
    <w:p>
      <w:pPr>
        <w:spacing w:after="120"/>
      </w:pPr>
      <w:r>
        <w:rPr>
          <w:rFonts w:ascii="Arial" w:cs="Arial" w:eastAsia="Arial" w:hAnsi="Arial"/>
          <w:sz w:val="24"/>
          <w:szCs w:val="24"/>
        </w:rPr>
        <w:t xml:space="preserve">团队融合强化学习、机器人控制、计算机视觉、临床康复多学科背景，具备从算法研发到产品落地的全栈能力。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角色</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背景</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核心能力</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项目负责人</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强化学习/机器人学</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算法架构设计、论文撰写、项目统筹</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算法工程师</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深度学习/计算机视觉</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感知管线开发、模型训练优化</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硬件工程师</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机器人控制/嵌入式</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UR10集成、控制系统开发</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临床顾问</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康复医学</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临床需求分析、试验设计</w:t>
            </w:r>
          </w:p>
        </w:tc>
      </w:tr>
    </w:tbl>
    <w:p>
      <w:pPr>
        <w:pStyle w:val="Heading2"/>
      </w:pPr>
      <w:r>
        <w:t xml:space="preserve">6.2 技术壁垒</w:t>
      </w:r>
    </w:p>
    <w:p>
      <w:pPr>
        <w:spacing w:after="120"/>
      </w:pPr>
      <w:r>
        <w:rPr>
          <w:rFonts w:ascii="Arial" w:cs="Arial" w:eastAsia="Arial" w:hAnsi="Arial"/>
          <w:sz w:val="24"/>
          <w:szCs w:val="24"/>
        </w:rPr>
        <w:t xml:space="preserve">本项目已形成三大核心技术壁垒：</w:t>
      </w:r>
    </w:p>
    <w:p>
      <w:pPr>
        <w:pStyle w:val="ListParagraph"/>
        <w:numPr>
          <w:ilvl w:val="0"/>
          <w:numId w:val="2"/>
        </w:numPr>
      </w:pPr>
      <w:r>
        <w:rPr>
          <w:rFonts w:ascii="Arial" w:cs="Arial" w:eastAsia="Arial" w:hAnsi="Arial"/>
          <w:sz w:val="24"/>
          <w:szCs w:val="24"/>
        </w:rPr>
        <w:t xml:space="preserve">CMD-DR域随机化：独特的认知-运动解耦虚拟患者生成机制，覆盖完整临床谱系</w:t>
      </w:r>
    </w:p>
    <w:p>
      <w:pPr>
        <w:pStyle w:val="ListParagraph"/>
        <w:numPr>
          <w:ilvl w:val="0"/>
          <w:numId w:val="2"/>
        </w:numPr>
      </w:pPr>
      <w:r>
        <w:rPr>
          <w:rFonts w:ascii="Arial" w:cs="Arial" w:eastAsia="Arial" w:hAnsi="Arial"/>
          <w:sz w:val="24"/>
          <w:szCs w:val="24"/>
        </w:rPr>
        <w:t xml:space="preserve">双流编码器+辅助动力学：自监督信号驱动LSTM内化患者动力学特征的创新架构</w:t>
      </w:r>
    </w:p>
    <w:p>
      <w:pPr>
        <w:pStyle w:val="ListParagraph"/>
        <w:numPr>
          <w:ilvl w:val="0"/>
          <w:numId w:val="2"/>
        </w:numPr>
        <w:spacing w:after="200"/>
      </w:pPr>
      <w:r>
        <w:rPr>
          <w:rFonts w:ascii="Arial" w:cs="Arial" w:eastAsia="Arial" w:hAnsi="Arial"/>
          <w:sz w:val="24"/>
          <w:szCs w:val="24"/>
        </w:rPr>
        <w:t xml:space="preserve">联盟PFSP训练：优先级虚拟自博弈确保对手池覆盖完整患者能力谱系</w:t>
      </w:r>
    </w:p>
    <w:p>
      <w:pPr>
        <w:spacing w:after="120"/>
      </w:pPr>
      <w:r>
        <w:rPr>
          <w:rFonts w:ascii="Arial" w:cs="Arial" w:eastAsia="Arial" w:hAnsi="Arial"/>
          <w:sz w:val="24"/>
          <w:szCs w:val="24"/>
        </w:rPr>
        <w:t xml:space="preserve">上述技术已形成IEEE论文级别的学术支撑，具备较高的技术门槛和复制难度。</w:t>
      </w:r>
    </w:p>
    <w:p>
      <w:pPr>
        <w:pStyle w:val="Heading1"/>
      </w:pPr>
      <w:r>
        <w:t xml:space="preserve">七、财务规划</w:t>
      </w:r>
    </w:p>
    <w:p>
      <w:pPr>
        <w:pStyle w:val="Heading2"/>
      </w:pPr>
      <w:r>
        <w:t xml:space="preserve">7.1 收入预测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1872"/>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年份</w:t>
            </w:r>
          </w:p>
        </w:tc>
        <w:tc>
          <w:tcPr>
            <w:tcW w:type="dxa" w:w="1872"/>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硬件销售(台)</w:t>
            </w:r>
          </w:p>
        </w:tc>
        <w:tc>
          <w:tcPr>
            <w:tcW w:type="dxa" w:w="1872"/>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软件订阅(万)</w:t>
            </w:r>
          </w:p>
        </w:tc>
        <w:tc>
          <w:tcPr>
            <w:tcW w:type="dxa" w:w="1872"/>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其他收入(万)</w:t>
            </w:r>
          </w:p>
        </w:tc>
        <w:tc>
          <w:tcPr>
            <w:tcW w:type="dxa" w:w="1872"/>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总收入(万)</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第1年</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第2年</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520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第3年</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1,350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第4年</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2,850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第5年</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5,300</w:t>
            </w:r>
          </w:p>
        </w:tc>
      </w:tr>
    </w:tbl>
    <w:p>
      <w:pPr>
        <w:pStyle w:val="Heading2"/>
      </w:pPr>
      <w:r>
        <w:t xml:space="preserve">7.2 成本结构</w:t>
      </w:r>
    </w:p>
    <w:p>
      <w:pPr>
        <w:spacing w:after="120"/>
      </w:pPr>
      <w:r>
        <w:rPr>
          <w:rFonts w:ascii="Arial" w:cs="Arial" w:eastAsia="Arial" w:hAnsi="Arial"/>
          <w:sz w:val="24"/>
          <w:szCs w:val="24"/>
        </w:rPr>
        <w:t xml:space="preserve">主要成本构成：</w:t>
      </w:r>
    </w:p>
    <w:p>
      <w:pPr>
        <w:pStyle w:val="ListParagraph"/>
        <w:numPr>
          <w:ilvl w:val="0"/>
          <w:numId w:val="2"/>
        </w:numPr>
      </w:pPr>
      <w:r>
        <w:rPr>
          <w:rFonts w:ascii="Arial" w:cs="Arial" w:eastAsia="Arial" w:hAnsi="Arial"/>
          <w:sz w:val="24"/>
          <w:szCs w:val="24"/>
        </w:rPr>
        <w:t xml:space="preserve">硬件成本：UR10机器人采购+磁性微机器人加工+摄像头模组，单台约8-12万元</w:t>
      </w:r>
    </w:p>
    <w:p>
      <w:pPr>
        <w:pStyle w:val="ListParagraph"/>
        <w:numPr>
          <w:ilvl w:val="0"/>
          <w:numId w:val="2"/>
        </w:numPr>
      </w:pPr>
      <w:r>
        <w:rPr>
          <w:rFonts w:ascii="Arial" w:cs="Arial" w:eastAsia="Arial" w:hAnsi="Arial"/>
          <w:sz w:val="24"/>
          <w:szCs w:val="24"/>
        </w:rPr>
        <w:t xml:space="preserve">研发投入：算法优化、产品迭代、临床试验，年均约200-300万元</w:t>
      </w:r>
    </w:p>
    <w:p>
      <w:pPr>
        <w:pStyle w:val="ListParagraph"/>
        <w:numPr>
          <w:ilvl w:val="0"/>
          <w:numId w:val="2"/>
        </w:numPr>
      </w:pPr>
      <w:r>
        <w:rPr>
          <w:rFonts w:ascii="Arial" w:cs="Arial" w:eastAsia="Arial" w:hAnsi="Arial"/>
          <w:sz w:val="24"/>
          <w:szCs w:val="24"/>
        </w:rPr>
        <w:t xml:space="preserve">市场推广：学术会议、展会参展、渠道建设，年均约100-150万元</w:t>
      </w:r>
    </w:p>
    <w:p>
      <w:pPr>
        <w:pStyle w:val="ListParagraph"/>
        <w:numPr>
          <w:ilvl w:val="0"/>
          <w:numId w:val="2"/>
        </w:numPr>
        <w:spacing w:after="200"/>
      </w:pPr>
      <w:r>
        <w:rPr>
          <w:rFonts w:ascii="Arial" w:cs="Arial" w:eastAsia="Arial" w:hAnsi="Arial"/>
          <w:sz w:val="24"/>
          <w:szCs w:val="24"/>
        </w:rPr>
        <w:t xml:space="preserve">人员成本：核心团队+销售团队+售后支持，年均约150-250万元</w:t>
      </w:r>
    </w:p>
    <w:p>
      <w:pPr>
        <w:pStyle w:val="Heading2"/>
      </w:pPr>
      <w:r>
        <w:t xml:space="preserve">7.3 融资需求</w:t>
      </w:r>
    </w:p>
    <w:p>
      <w:pPr>
        <w:spacing w:after="120"/>
      </w:pPr>
      <w:r>
        <w:rPr>
          <w:rFonts w:ascii="Arial" w:cs="Arial" w:eastAsia="Arial" w:hAnsi="Arial"/>
          <w:sz w:val="24"/>
          <w:szCs w:val="24"/>
        </w:rPr>
        <w:t xml:space="preserve">本轮融资计划融资500-800万元，主要用于：</w:t>
      </w:r>
    </w:p>
    <w:p>
      <w:pPr>
        <w:pStyle w:val="ListParagraph"/>
        <w:numPr>
          <w:ilvl w:val="0"/>
          <w:numId w:val="2"/>
        </w:numPr>
      </w:pPr>
      <w:r>
        <w:rPr>
          <w:rFonts w:ascii="Arial" w:cs="Arial" w:eastAsia="Arial" w:hAnsi="Arial"/>
          <w:sz w:val="24"/>
          <w:szCs w:val="24"/>
        </w:rPr>
        <w:t xml:space="preserve">产品研发（40%）：完成AuxLSTM完整消融实验、优化Sim-to-Real迁移、产品工程化</w:t>
      </w:r>
    </w:p>
    <w:p>
      <w:pPr>
        <w:pStyle w:val="ListParagraph"/>
        <w:numPr>
          <w:ilvl w:val="0"/>
          <w:numId w:val="2"/>
        </w:numPr>
      </w:pPr>
      <w:r>
        <w:rPr>
          <w:rFonts w:ascii="Arial" w:cs="Arial" w:eastAsia="Arial" w:hAnsi="Arial"/>
          <w:sz w:val="24"/>
          <w:szCs w:val="24"/>
        </w:rPr>
        <w:t xml:space="preserve">临床验证（25%）：与康复医院合作开展小规模临床试验，获取安全性与有效性数据</w:t>
      </w:r>
    </w:p>
    <w:p>
      <w:pPr>
        <w:pStyle w:val="ListParagraph"/>
        <w:numPr>
          <w:ilvl w:val="0"/>
          <w:numId w:val="2"/>
        </w:numPr>
      </w:pPr>
      <w:r>
        <w:rPr>
          <w:rFonts w:ascii="Arial" w:cs="Arial" w:eastAsia="Arial" w:hAnsi="Arial"/>
          <w:sz w:val="24"/>
          <w:szCs w:val="24"/>
        </w:rPr>
        <w:t xml:space="preserve">市场推广（20%）：建立标杆客户、参加行业展会、搭建销售渠道</w:t>
      </w:r>
    </w:p>
    <w:p>
      <w:pPr>
        <w:pStyle w:val="ListParagraph"/>
        <w:numPr>
          <w:ilvl w:val="0"/>
          <w:numId w:val="2"/>
        </w:numPr>
        <w:spacing w:after="200"/>
      </w:pPr>
      <w:r>
        <w:rPr>
          <w:rFonts w:ascii="Arial" w:cs="Arial" w:eastAsia="Arial" w:hAnsi="Arial"/>
          <w:sz w:val="24"/>
          <w:szCs w:val="24"/>
        </w:rPr>
        <w:t xml:space="preserve">运营储备（15%）：团队扩充、日常运营、知识产权布局</w:t>
      </w:r>
    </w:p>
    <w:p>
      <w:pPr>
        <w:pStyle w:val="Heading1"/>
      </w:pPr>
      <w:r>
        <w:t xml:space="preserve">八、风险分析与应对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风险类型</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风险描述</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应对措施</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技术风险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Sim-to-Real迁移在复杂场景下性能下降</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持续优化域随机化参数；增加真实数据微调</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市场风险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医疗机构采购决策周期长</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以学术推广建立信任；提供试用期降低决策门槛</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政策风险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医疗器械注册审批周期不确定</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提前启动注册流程；与专业CRO机构合作</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竞争风险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头部企业进入自适应康复赛道</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持续技术迭代保持领先；建立数据壁垒</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人才风险</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核心技术人员流失</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完善激励机制；建立技术文档化体系</w:t>
            </w:r>
          </w:p>
        </w:tc>
      </w:tr>
    </w:tbl>
    <w:p>
      <w:pPr>
        <w:pStyle w:val="Heading1"/>
      </w:pPr>
      <w:r>
        <w:t xml:space="preserve">九、发展规划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阶段</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时间</w:t>
            </w:r>
          </w:p>
        </w:tc>
        <w:tc>
          <w:tcPr>
            <w:tcW w:type="dxa" w:w="3120"/>
            <w:tcBorders>
              <w:top w:val="single" w:color="CCCCCC" w:sz="1"/>
              <w:left w:val="single" w:color="CCCCCC" w:sz="1"/>
              <w:bottom w:val="single" w:color="CCCCCC" w:sz="1"/>
              <w:right w:val="single" w:color="CCCCCC" w:sz="1"/>
            </w:tcBorders>
            <w:shd w:fill="2A3F75"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关键里程碑</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种子期</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2026-2027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完成产品工程化；启动临床试验；获取2-3家标杆客户</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成长期</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2027-2028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取得产品注册证；建立区域代理网络；年销售20+台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扩张期</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2028-2030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覆盖全国重点省份；推出远程康复平台；年销售100+台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成熟期</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构建康复大数据平台；拓展适应症范围；探索海外市场</w:t>
            </w:r>
          </w:p>
        </w:tc>
      </w:tr>
    </w:tbl>
    <w:p>
      <w:pPr>
        <w:pStyle w:val="Heading1"/>
      </w:pPr>
      <w:r>
        <w:t xml:space="preserve">十、结语</w:t>
      </w:r>
    </w:p>
    <w:p>
      <w:pPr>
        <w:spacing w:after="120"/>
      </w:pPr>
      <w:r>
        <w:rPr>
          <w:rFonts w:ascii="Arial" w:cs="Arial" w:eastAsia="Arial" w:hAnsi="Arial"/>
          <w:sz w:val="24"/>
          <w:szCs w:val="24"/>
        </w:rPr>
        <w:t xml:space="preserve">本项目将前沿的深度强化学习技术与康复医学深度融合，打造了一套真正智能、自适应、可及的上肢康复解决方案。我们相信，通过技术创新降低康复服务门槛，让每一位患者都能获得个性化的康复训练，不仅是商业机会，更是社会责任。</w:t>
      </w:r>
    </w:p>
    <w:p>
      <w:pPr>
        <w:spacing w:after="120"/>
      </w:pPr>
      <w:r>
        <w:rPr>
          <w:rFonts w:ascii="Arial" w:cs="Arial" w:eastAsia="Arial" w:hAnsi="Arial"/>
          <w:sz w:val="24"/>
          <w:szCs w:val="24"/>
        </w:rPr>
        <w:t xml:space="preserve">我们诚邀志同道合的投资者和合作伙伴，共同推动智能康复技术的产业化落地，为中国康复医疗事业贡献力量。</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智能自适应上肢康复机器人系统 | 商业计划书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智能自适应上肢康复机器人系统 | 商业计划书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A3F75"/>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A3F7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2026-06-12T03:04:46.002Z</dcterms:created>
  <dcterms:modified xsi:type="dcterms:W3CDTF">2026-06-12T03:04:46.002Z</dcterms:modified>
</cp:coreProperties>
</file>

<file path=docProps/custom.xml><?xml version="1.0" encoding="utf-8"?>
<Properties xmlns="http://schemas.openxmlformats.org/officeDocument/2006/custom-properties" xmlns:vt="http://schemas.openxmlformats.org/officeDocument/2006/docPropsVTypes"/>
</file>