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Stage Manuscript Draft: Methods, Experiments, and Physical Deployment</w:t>
      </w:r>
    </w:p>
    <w:p>
      <w:pPr>
        <w:jc w:val="center"/>
      </w:pPr>
      <w:r>
        <w:rPr>
          <w:rFonts w:ascii="Times New Roman" w:hAnsi="Times New Roman" w:eastAsia="Times New Roman"/>
          <w:i/>
          <w:sz w:val="18"/>
        </w:rPr>
        <w:t>Abstract, Introduction, Discussion, Conclusion, and References remain to be finalized.</w:t>
      </w:r>
    </w:p>
    <w:p>
      <w:pPr>
        <w:ind w:firstLine="288"/>
        <w:jc w:val="both"/>
      </w:pPr>
      <w:r>
        <w:rPr>
          <w:rFonts w:ascii="Times New Roman" w:hAnsi="Times New Roman" w:eastAsia="Times New Roman"/>
          <w:b w:val="0"/>
          <w:sz w:val="20"/>
        </w:rPr>
        <w:t>Stage manuscript draft revised from `methodology_ieee_v2.34_spc_piecewise_formula.md`. This version simplifies the SPC equation into a compact stride-times-direction expression and moves the direction-selection details into prose.</w:t>
      </w:r>
    </w:p>
    <w:p>
      <w:pPr>
        <w:pStyle w:val="Heading1"/>
      </w:pPr>
      <w:r>
        <w:t>II. SYSTEM OVERVIEW AND PROBLEM FORMULATION</w:t>
      </w:r>
    </w:p>
    <w:p>
      <w:pPr>
        <w:ind w:firstLine="288"/>
        <w:jc w:val="both"/>
      </w:pPr>
      <w:r>
        <w:rPr>
          <w:rFonts w:ascii="Times New Roman" w:hAnsi="Times New Roman" w:eastAsia="Times New Roman"/>
          <w:b w:val="0"/>
          <w:sz w:val="20"/>
        </w:rPr>
        <w:t>We introduce a magnetically actuated, non-contact rehabilitation system for active upper-limb motor training. The user interacts with an unpowered magnetic microrobot on a tabletop workspace, while a robotic arm drives the microrobot indirectly through a permanent magnet placed below the surface. This layout preserves an active pursuit task for the user while avoiding rigid physical coupling between the robot and the human body. We formulate the control problem as a reinforcement learning (RL) task in which the robot regulates interaction difficulty through the motion of the magnetic microrobot.</w:t>
      </w:r>
    </w:p>
    <w:p>
      <w:pPr>
        <w:pStyle w:val="Heading2"/>
      </w:pPr>
      <w:r>
        <w:t>A. Hardware Platform</w:t>
      </w:r>
    </w:p>
    <w:p>
      <w:pPr>
        <w:ind w:firstLine="288"/>
        <w:jc w:val="both"/>
      </w:pPr>
      <w:r>
        <w:rPr>
          <w:rFonts w:ascii="Times New Roman" w:hAnsi="Times New Roman" w:eastAsia="Times New Roman"/>
          <w:b w:val="0"/>
          <w:sz w:val="20"/>
        </w:rPr>
        <w:t>The platform separates actuation, interaction, and perception into three physical layers. In the actuation layer, a UR10 robotic arm is placed beneath the workspace, and a permanent magnet is mounted on its end-effector to drive the microrobot above. In the interaction layer, a 5-mm acrylic sheet supports the unpowered magnetic microrobot and forms a physical barrier between the robotic arm and the user. In the perception layer, an overhead red-green-blue (RGB) camera sends images to a host computer, which estimates the positions of the microrobot and the hand and transmits target pose commands to the UR10 over Ethernet.</w:t>
      </w:r>
    </w:p>
    <w:p>
      <w:pPr>
        <w:ind w:firstLine="288"/>
        <w:jc w:val="both"/>
      </w:pPr>
      <w:r>
        <w:rPr>
          <w:rFonts w:ascii="Times New Roman" w:hAnsi="Times New Roman" w:eastAsia="Times New Roman"/>
          <w:b w:val="0"/>
          <w:sz w:val="20"/>
        </w:rPr>
        <w:t>This layout supports both safety and reproducibility. Fig. 1 summarizes the complete simulation-to-real workflow, from policy training in the pursuit-evasion simulator to camera-based observation construction and physical magnetic actuation. The acrylic sheet creates a fixed separation between the actuator and the user-side workspace, so the participant interacts only with the passive microrobot rather than with the robot arm. The microrobot is lightweight and unpowered, and commanded motion can be limited in software while the UR10 remains below the surface with its standard emergency stop available. The hardware also requires only a collaborative robot, a camera, a calibrated planar workspace, and a permanent magnet. It does not rely on wearable components, force sensors, onboard batteries, or custom actuators, which makes the setup easier to reproduce across sessions.</w:t>
      </w:r>
    </w:p>
    <w:p>
      <w:pPr>
        <w:jc w:val="center"/>
      </w:pPr>
      <w:r>
        <w:drawing>
          <wp:inline xmlns:a="http://schemas.openxmlformats.org/drawingml/2006/main" xmlns:pic="http://schemas.openxmlformats.org/drawingml/2006/picture">
            <wp:extent cx="6035040" cy="4526738"/>
            <wp:docPr id="1" name="Picture 1"/>
            <wp:cNvGraphicFramePr>
              <a:graphicFrameLocks noChangeAspect="1"/>
            </wp:cNvGraphicFramePr>
            <a:graphic>
              <a:graphicData uri="http://schemas.openxmlformats.org/drawingml/2006/picture">
                <pic:pic>
                  <pic:nvPicPr>
                    <pic:cNvPr id="0" name="fig_system_framework.png"/>
                    <pic:cNvPicPr/>
                  </pic:nvPicPr>
                  <pic:blipFill>
                    <a:blip r:embed="rId9"/>
                    <a:stretch>
                      <a:fillRect/>
                    </a:stretch>
                  </pic:blipFill>
                  <pic:spPr>
                    <a:xfrm>
                      <a:off x="0" y="0"/>
                      <a:ext cx="6035040" cy="4526738"/>
                    </a:xfrm>
                    <a:prstGeom prst="rect"/>
                  </pic:spPr>
                </pic:pic>
              </a:graphicData>
            </a:graphic>
          </wp:inline>
        </w:drawing>
      </w:r>
    </w:p>
    <w:p>
      <w:pPr>
        <w:pStyle w:val="IEEECaption"/>
        <w:jc w:val="both"/>
      </w:pPr>
      <w:r>
        <w:t>Fig. 1. System framework for simulation-to-real non-contact rehabilitation. The simulation environment defines the pursuit-evasion interaction, the policy network maps spatial and temporal observations to microrobot actions, the image-to-observation module converts camera measurements into policy inputs, and the physical platform executes the learned policy through magnetic actuation.</w:t>
      </w:r>
    </w:p>
    <w:p>
      <w:pPr>
        <w:pStyle w:val="Heading2"/>
      </w:pPr>
      <w:r>
        <w:t>B. Problem Formulation</w:t>
      </w:r>
    </w:p>
    <w:p>
      <w:pPr>
        <w:ind w:firstLine="288"/>
        <w:jc w:val="both"/>
      </w:pPr>
      <w:r>
        <w:rPr>
          <w:rFonts w:ascii="Times New Roman" w:hAnsi="Times New Roman" w:eastAsia="Times New Roman"/>
          <w:b w:val="0"/>
          <w:sz w:val="20"/>
        </w:rPr>
        <w:t>We cast the task as a closed-loop pursuit-evasion interaction on a flat workspace. The participant's hand acts as the pursuer, and the magnetic microrobot acts as a moving target driven by the robot arm beneath the acrylic surface. The participant attempts to approach and catch the microrobot, while the robot controls the microrobot motion to keep the task challenging but still reachable. This differs from static reaching because the target does not remain fixed after a movement is planned. The participant must continuously track, anticipate, and correct hand motion, making the task a sustained visuomotor exercise rather than an isolated point-to-point reach [1].</w:t>
      </w:r>
    </w:p>
    <w:p>
      <w:pPr>
        <w:ind w:firstLine="288"/>
        <w:jc w:val="both"/>
      </w:pPr>
      <w:r>
        <w:rPr>
          <w:rFonts w:ascii="Times New Roman" w:hAnsi="Times New Roman" w:eastAsia="Times New Roman"/>
          <w:b w:val="0"/>
          <w:sz w:val="20"/>
        </w:rPr>
        <w:t>To keep the task challenging but achievable, we define a Zone of Proximal Development (ZPD) as a target distance range between the hand and the microrobot [2]. The robot should neither escape completely nor yield passively. Instead, it should keep the interaction inside this range so that the user remains engaged without the task becoming trivial or unreachable. Hand speed, pursuit strategy, response delay, and motion noise can all change during interaction, making fixed difficulty settings inadequate.</w:t>
      </w:r>
    </w:p>
    <w:p>
      <w:pPr>
        <w:ind w:firstLine="288"/>
        <w:jc w:val="both"/>
      </w:pPr>
      <w:r>
        <w:rPr>
          <w:rFonts w:ascii="Times New Roman" w:hAnsi="Times New Roman" w:eastAsia="Times New Roman"/>
          <w:b w:val="0"/>
          <w:sz w:val="20"/>
        </w:rPr>
        <w:t>Conventional controllers are limited in this setting because methods such as artificial potential fields or rule-based impedance control usually rely on hand-crafted responses to instantaneous state feedback. These methods struggle to anticipate strategic pursuit behaviors such as interception or to adapt to heterogeneous movement patterns. Their performance can also degrade under delayed response or noisy motion, since purposeful movement and perturbation are not explicitly separated. These limitations motivate an RL formulation in which the controller optimizes a long-horizon ZPD objective under variable hand behavior rather than reacting only to the current hand-microrobot distance.</w:t>
      </w:r>
    </w:p>
    <w:p>
      <w:pPr>
        <w:ind w:firstLine="288"/>
        <w:jc w:val="both"/>
      </w:pPr>
      <w:r>
        <w:rPr>
          <w:rFonts w:ascii="Times New Roman" w:hAnsi="Times New Roman" w:eastAsia="Times New Roman"/>
          <w:b w:val="0"/>
          <w:sz w:val="20"/>
        </w:rPr>
        <w:t>For robot training, the reward is written as the sum of four intuitive terms: distance regulation, action smoothness, workspace-boundary safety, and catch avoidance. Let d_t be the hand-microrobot distance and a_t be the robot action. The robot reward optimized by PPO is summarized as</w:t>
      </w:r>
    </w:p>
    <w:p>
      <w:pPr>
        <w:pStyle w:val="DisplayEquation"/>
        <w:spacing w:before="60" w:after="60"/>
        <w:jc w:val="center"/>
      </w:pPr>
      <m:oMathPara>
        <m:oMath>
          <m:sSub>
            <m:e>
              <m:r>
                <m:t xml:space="preserve">r</m:t>
              </m:r>
            </m:e>
            <m:sub>
              <m:r>
                <m:t xml:space="preserve">t</m:t>
              </m:r>
            </m:sub>
          </m:sSub>
          <m:r>
            <m:t xml:space="preserve"> = </m:t>
          </m:r>
          <m:sSub>
            <m:e>
              <m:r>
                <m:t xml:space="preserve">r</m:t>
              </m:r>
            </m:e>
            <m:sub>
              <m:r>
                <m:t xml:space="preserve">dist</m:t>
              </m:r>
            </m:sub>
          </m:sSub>
          <m:r>
            <m:t xml:space="preserve">(</m:t>
          </m:r>
          <m:sSub>
            <m:e>
              <m:r>
                <m:t xml:space="preserve">d</m:t>
              </m:r>
            </m:e>
            <m:sub>
              <m:r>
                <m:t xml:space="preserve">t</m:t>
              </m:r>
            </m:sub>
          </m:sSub>
          <m:r>
            <m:t xml:space="preserve">) + </m:t>
          </m:r>
          <m:sSub>
            <m:e>
              <m:r>
                <m:t xml:space="preserve">r</m:t>
              </m:r>
            </m:e>
            <m:sub>
              <m:r>
                <m:t xml:space="preserve">smooth</m:t>
              </m:r>
            </m:sub>
          </m:sSub>
          <m:r>
            <m:t xml:space="preserve">(</m:t>
          </m:r>
          <m:sSub>
            <m:e>
              <m:r>
                <m:t xml:space="preserve">a</m:t>
              </m:r>
            </m:e>
            <m:sub>
              <m:r>
                <m:t xml:space="preserve">t</m:t>
              </m:r>
            </m:sub>
          </m:sSub>
          <m:r>
            <m:t xml:space="preserve">) + </m:t>
          </m:r>
          <m:sSub>
            <m:e>
              <m:r>
                <m:t xml:space="preserve">r</m:t>
              </m:r>
            </m:e>
            <m:sub>
              <m:r>
                <m:t xml:space="preserve">bound</m:t>
              </m:r>
            </m:sub>
          </m:sSub>
          <m:r>
            <m:t xml:space="preserve">(</m:t>
          </m:r>
          <m:sSub>
            <m:e>
              <m:r>
                <m:t xml:space="preserve">p</m:t>
              </m:r>
            </m:e>
            <m:sub>
              <m:r>
                <m:t xml:space="preserve">R,t</m:t>
              </m:r>
            </m:sub>
          </m:sSub>
          <m:r>
            <m:t xml:space="preserve">) + </m:t>
          </m:r>
          <m:sSub>
            <m:e>
              <m:r>
                <m:t xml:space="preserve">r</m:t>
              </m:r>
            </m:e>
            <m:sub>
              <m:r>
                <m:t xml:space="preserve">catch</m:t>
              </m:r>
            </m:sub>
          </m:sSub>
          <m:r>
            <m:t xml:space="preserve">(</m:t>
          </m:r>
          <m:sSub>
            <m:e>
              <m:r>
                <m:t xml:space="preserve">d</m:t>
              </m:r>
            </m:e>
            <m:sub>
              <m:r>
                <m:t xml:space="preserve">t</m:t>
              </m:r>
            </m:sub>
          </m:sSub>
          <m:r>
            <m:t xml:space="preserve">)</m:t>
          </m:r>
          <m:r>
            <m:t xml:space="preserve">    (1)</m:t>
          </m:r>
        </m:oMath>
      </m:oMathPara>
    </w:p>
    <w:p>
      <w:pPr>
        <w:ind w:firstLine="288"/>
        <w:jc w:val="both"/>
      </w:pPr>
      <w:r>
        <w:rPr>
          <w:rFonts w:ascii="Times New Roman" w:hAnsi="Times New Roman" w:eastAsia="Times New Roman"/>
          <w:b w:val="0"/>
          <w:sz w:val="20"/>
        </w:rPr>
        <w:t>The distance term rewards maintaining the hand-microrobot separation inside the ZPD band and penalizes distances that are too close or too far. The smoothness term discourages abrupt robot motion, the boundary term penalizes leaving the valid workspace, and the catch term penalizes episodes in which the hand reaches the microrobot. Episodes terminate when the microrobot is caught, leaves the valid workspace, or reaches the maximum horizon.</w:t>
      </w:r>
    </w:p>
    <w:p>
      <w:pPr>
        <w:pStyle w:val="Heading1"/>
      </w:pPr>
      <w:r>
        <w:t>III. METHODOLOGY</w:t>
      </w:r>
    </w:p>
    <w:p>
      <w:pPr>
        <w:ind w:firstLine="288"/>
        <w:jc w:val="both"/>
      </w:pPr>
      <w:r>
        <w:rPr>
          <w:rFonts w:ascii="Times New Roman" w:hAnsi="Times New Roman" w:eastAsia="Times New Roman"/>
          <w:b w:val="0"/>
          <w:sz w:val="20"/>
        </w:rPr>
        <w:t>The robot must therefore regulate difficulty while hand behavior changes in both strategy and motor execution. Our approach treats this variability as a simulation problem, an observation problem, and a training-distribution problem. Cognitive-Motor Decoupled Domain Randomization (CMD-DR) broadens the simulated user distribution by separating movement intent from motor-execution constraints. A dual-stream encoder makes hand-motion history available to the policy, while an auxiliary future-dynamics head adds a direct learning signal for short-horizon motion prediction. Iterative league training exposes the robot to a growing pool of hand policies so that the learned controller does not depend on one fixed virtual user.</w:t>
      </w:r>
    </w:p>
    <w:p>
      <w:pPr>
        <w:pStyle w:val="Heading2"/>
      </w:pPr>
      <w:r>
        <w:t>A. Cognitive-Motor Decoupled Domain Randomization</w:t>
      </w:r>
    </w:p>
    <w:p>
      <w:pPr>
        <w:ind w:firstLine="288"/>
        <w:jc w:val="both"/>
      </w:pPr>
      <w:r>
        <w:rPr>
          <w:rFonts w:ascii="Times New Roman" w:hAnsi="Times New Roman" w:eastAsia="Times New Roman"/>
          <w:b w:val="0"/>
          <w:sz w:val="20"/>
        </w:rPr>
        <w:t>Users can differ both in how they choose to move and in how accurately they execute those movements, making it difficult for a single model to capture all variations. CMD-DR separates these two sources of variability by generating intended hand motion first and then applying motor-execution constraints, observation noise, and temporal delay. At the strategy level, a hand policy sampled from the opponent pool determines the intended displacement at each timestep. The pool contains a stochastic scripted pursuit controller (SPC) and trained RL hand policies. The SPC provides a transparent pursuit model, while learned hand policies can produce more anticipatory strategies such as interception.</w:t>
      </w:r>
    </w:p>
    <w:p>
      <w:pPr>
        <w:ind w:firstLine="288"/>
        <w:jc w:val="both"/>
      </w:pPr>
      <w:r>
        <w:rPr>
          <w:rFonts w:ascii="Times New Roman" w:hAnsi="Times New Roman" w:eastAsia="Times New Roman"/>
          <w:b w:val="0"/>
          <w:sz w:val="20"/>
        </w:rPr>
        <w:t>The SPC samples a stride rho_ep once per episode and uses it for the whole episode. At each timestep, it chooses a unit direction q_t and moves one stride along that direction:</w:t>
      </w:r>
    </w:p>
    <w:p>
      <w:pPr>
        <w:pStyle w:val="DisplayEquation"/>
        <w:spacing w:before="60" w:after="60"/>
        <w:jc w:val="center"/>
      </w:pPr>
      <m:oMathPara>
        <m:oMath>
          <m:sSubSup>
            <m:e>
              <m:r>
                <m:t xml:space="preserve">u</m:t>
              </m:r>
            </m:e>
            <m:sub>
              <m:r>
                <m:t xml:space="preserve">t</m:t>
              </m:r>
            </m:sub>
            <m:sup>
              <m:r>
                <m:t xml:space="preserve">SPC</m:t>
              </m:r>
            </m:sup>
          </m:sSubSup>
          <m:r>
            <m:t xml:space="preserve"> = </m:t>
          </m:r>
          <m:sSub>
            <m:e>
              <m:r>
                <m:t xml:space="preserve">ρ</m:t>
              </m:r>
            </m:e>
            <m:sub>
              <m:r>
                <m:t xml:space="preserve">ep</m:t>
              </m:r>
            </m:sub>
          </m:sSub>
          <m:sSub>
            <m:e>
              <m:r>
                <m:t xml:space="preserve">q</m:t>
              </m:r>
            </m:e>
            <m:sub>
              <m:r>
                <m:t xml:space="preserve">t</m:t>
              </m:r>
            </m:sub>
          </m:sSub>
          <m:r>
            <m:t xml:space="preserve">    (2)</m:t>
          </m:r>
        </m:oMath>
      </m:oMathPara>
    </w:p>
    <w:p>
      <w:pPr>
        <w:ind w:firstLine="288"/>
        <w:jc w:val="both"/>
      </w:pPr>
      <w:r>
        <w:rPr>
          <w:rFonts w:ascii="Times New Roman" w:hAnsi="Times New Roman" w:eastAsia="Times New Roman"/>
          <w:b w:val="0"/>
          <w:sz w:val="20"/>
        </w:rPr>
        <w:t>With probability 1-epsilon, q_t points from the current hand position toward the microrobot. With probability epsilon, q_t is a random unit direction. In our experiments, rho_ep is sampled from U(0.45, 0.70) and epsilon = 0.05. The learned hand policies replace (2) with their policy outputs, but the resulting intended displacement is passed through the same motor-execution model.</w:t>
      </w:r>
    </w:p>
    <w:p>
      <w:pPr>
        <w:ind w:firstLine="288"/>
        <w:jc w:val="both"/>
      </w:pPr>
      <w:r>
        <w:rPr>
          <w:rFonts w:ascii="Times New Roman" w:hAnsi="Times New Roman" w:eastAsia="Times New Roman"/>
          <w:b w:val="0"/>
          <w:sz w:val="20"/>
        </w:rPr>
        <w:t>The raw desired displacement is first passed through a first-order low-pass filter to model motion inertia, as shown in (3).</w:t>
      </w:r>
    </w:p>
    <w:p>
      <w:pPr>
        <w:pStyle w:val="DisplayEquation"/>
        <w:spacing w:before="60" w:after="60"/>
        <w:jc w:val="center"/>
      </w:pPr>
      <m:oMathPara>
        <m:oMath>
          <m:sSub>
            <m:e>
              <m:r>
                <m:t xml:space="preserve">x</m:t>
              </m:r>
            </m:e>
            <m:sub>
              <m:r>
                <m:t xml:space="preserve">t</m:t>
              </m:r>
            </m:sub>
          </m:sSub>
          <m:r>
            <m:t xml:space="preserve"> = α</m:t>
          </m:r>
          <m:sSub>
            <m:e>
              <m:r>
                <m:t xml:space="preserve">x</m:t>
              </m:r>
            </m:e>
            <m:sub>
              <m:r>
                <m:t xml:space="preserve">t−1</m:t>
              </m:r>
            </m:sub>
          </m:sSub>
          <m:r>
            <m:t xml:space="preserve"> + (1−α)</m:t>
          </m:r>
          <m:sSub>
            <m:e>
              <m:r>
                <m:t xml:space="preserve">u</m:t>
              </m:r>
            </m:e>
            <m:sub>
              <m:r>
                <m:t xml:space="preserve">t</m:t>
              </m:r>
            </m:sub>
          </m:sSub>
          <m:r>
            <m:t xml:space="preserve">,  α ∈ (0,1)</m:t>
          </m:r>
          <m:r>
            <m:t xml:space="preserve">    (3)</m:t>
          </m:r>
        </m:oMath>
      </m:oMathPara>
    </w:p>
    <w:p>
      <w:pPr>
        <w:ind w:firstLine="288"/>
        <w:jc w:val="both"/>
      </w:pPr>
      <w:r>
        <w:rPr>
          <w:rFonts w:ascii="Times New Roman" w:hAnsi="Times New Roman" w:eastAsia="Times New Roman"/>
          <w:b w:val="0"/>
          <w:sz w:val="20"/>
        </w:rPr>
        <w:t>where u_t denotes the raw desired displacement and x_t denotes the filtered displacement. Acceleration clipping then limits abrupt changes in motion, as shown in (4).</w:t>
      </w:r>
    </w:p>
    <w:p>
      <w:pPr>
        <w:pStyle w:val="DisplayEquation"/>
        <w:spacing w:before="60" w:after="60"/>
        <w:jc w:val="center"/>
      </w:pPr>
      <m:oMathPara>
        <m:oMath>
          <m:r>
            <m:t xml:space="preserve">Δ</m:t>
          </m:r>
          <m:sSub>
            <m:e>
              <m:r>
                <m:t xml:space="preserve">x</m:t>
              </m:r>
            </m:e>
            <m:sub>
              <m:r>
                <m:t xml:space="preserve">t</m:t>
              </m:r>
            </m:sub>
          </m:sSub>
          <m:r>
            <m:t xml:space="preserve"> = clip(</m:t>
          </m:r>
          <m:sSub>
            <m:e>
              <m:r>
                <m:t xml:space="preserve">x</m:t>
              </m:r>
            </m:e>
            <m:sub>
              <m:r>
                <m:t xml:space="preserve">t</m:t>
              </m:r>
            </m:sub>
          </m:sSub>
          <m:r>
            <m:t xml:space="preserve">−</m:t>
          </m:r>
          <m:sSub>
            <m:e>
              <m:r>
                <m:t xml:space="preserve">x</m:t>
              </m:r>
            </m:e>
            <m:sub>
              <m:r>
                <m:t xml:space="preserve">t−1</m:t>
              </m:r>
            </m:sub>
          </m:sSub>
          <m:r>
            <m:t xml:space="preserve">, −</m:t>
          </m:r>
          <m:sSub>
            <m:e>
              <m:r>
                <m:t xml:space="preserve">a</m:t>
              </m:r>
            </m:e>
            <m:sub>
              <m:r>
                <m:t xml:space="preserve">max</m:t>
              </m:r>
            </m:sub>
          </m:sSub>
          <m:r>
            <m:t xml:space="preserve">, </m:t>
          </m:r>
          <m:sSub>
            <m:e>
              <m:r>
                <m:t xml:space="preserve">a</m:t>
              </m:r>
            </m:e>
            <m:sub>
              <m:r>
                <m:t xml:space="preserve">max</m:t>
              </m:r>
            </m:sub>
          </m:sSub>
          <m:r>
            <m:t xml:space="preserve">)</m:t>
          </m:r>
          <m:r>
            <m:t xml:space="preserve">    (4)</m:t>
          </m:r>
        </m:oMath>
      </m:oMathPara>
    </w:p>
    <w:p>
      <w:pPr>
        <w:ind w:firstLine="288"/>
        <w:jc w:val="both"/>
      </w:pPr>
      <w:r>
        <w:rPr>
          <w:rFonts w:ascii="Times New Roman" w:hAnsi="Times New Roman" w:eastAsia="Times New Roman"/>
          <w:b w:val="0"/>
          <w:sz w:val="20"/>
        </w:rPr>
        <w:t>The delayed displacement is then applied to update the simulated hand position,</w:t>
      </w:r>
    </w:p>
    <w:p>
      <w:pPr>
        <w:pStyle w:val="DisplayEquation"/>
        <w:spacing w:before="60" w:after="60"/>
        <w:jc w:val="center"/>
      </w:pPr>
      <m:oMathPara>
        <m:oMath>
          <m:sSub>
            <m:e>
              <m:r>
                <m:t xml:space="preserve">p</m:t>
              </m:r>
            </m:e>
            <m:sub>
              <m:r>
                <m:t xml:space="preserve">H,t+1</m:t>
              </m:r>
            </m:sub>
          </m:sSub>
          <m:r>
            <m:t xml:space="preserve"> = </m:t>
          </m:r>
          <m:sSub>
            <m:e>
              <m:r>
                <m:t xml:space="preserve">p</m:t>
              </m:r>
            </m:e>
            <m:sub>
              <m:r>
                <m:t xml:space="preserve">H,t</m:t>
              </m:r>
            </m:sub>
          </m:sSub>
          <m:r>
            <m:t xml:space="preserve"> + Δ</m:t>
          </m:r>
          <m:sSub>
            <m:e>
              <m:r>
                <m:t xml:space="preserve">x</m:t>
              </m:r>
            </m:e>
            <m:sub>
              <m:r>
                <m:t xml:space="preserve">t−δ</m:t>
              </m:r>
            </m:sub>
          </m:sSub>
          <m:r>
            <m:t xml:space="preserve"> + </m:t>
          </m:r>
          <m:sSub>
            <m:e>
              <m:r>
                <m:t xml:space="preserve">η</m:t>
              </m:r>
            </m:e>
            <m:sub>
              <m:r>
                <m:t xml:space="preserve">t</m:t>
              </m:r>
            </m:sub>
          </m:sSub>
          <m:r>
            <m:t xml:space="preserve">,  </m:t>
          </m:r>
          <m:sSub>
            <m:e>
              <m:r>
                <m:t xml:space="preserve">η</m:t>
              </m:r>
            </m:e>
            <m:sub>
              <m:r>
                <m:t xml:space="preserve">t</m:t>
              </m:r>
            </m:sub>
          </m:sSub>
          <m:r>
            <m:t xml:space="preserve"> ~ N(0,</m:t>
          </m:r>
          <m:sSup>
            <m:e>
              <m:r>
                <m:t xml:space="preserve">σ</m:t>
              </m:r>
            </m:e>
            <m:sup>
              <m:r>
                <m:t xml:space="preserve">2</m:t>
              </m:r>
            </m:sup>
          </m:sSup>
          <m:r>
            <m:t xml:space="preserve">I)</m:t>
          </m:r>
          <m:r>
            <m:t xml:space="preserve">    (5)</m:t>
          </m:r>
        </m:oMath>
      </m:oMathPara>
    </w:p>
    <w:p>
      <w:pPr>
        <w:ind w:firstLine="288"/>
        <w:jc w:val="both"/>
      </w:pPr>
      <w:r>
        <w:rPr>
          <w:rFonts w:ascii="Times New Roman" w:hAnsi="Times New Roman" w:eastAsia="Times New Roman"/>
          <w:b w:val="0"/>
          <w:sz w:val="20"/>
        </w:rPr>
        <w:t>where delta is sampled from the delay range and eta_t models camera-level position noise. The delay buffer advances at 8 Hz in the motor-execution layer, so the 0--3 frame range in Table I corresponds to 0--375 ms. Table I lists the values and sampled ranges used for these constraints. Through this decoupled design, the robot policy is exposed to plausible hand-motion variations without tying training to a single simulated hand model.</w:t>
      </w:r>
    </w:p>
    <w:p>
      <w:pPr>
        <w:pStyle w:val="IEEECaption"/>
        <w:jc w:val="center"/>
      </w:pPr>
      <w:r>
        <w:rPr>
          <w:rFonts w:ascii="Times New Roman" w:hAnsi="Times New Roman" w:eastAsia="Times New Roman"/>
          <w:b/>
          <w:sz w:val="18"/>
        </w:rPr>
        <w:t>TABLE I: CMD-DR MOTOR RANDOMIZATION PARAMETERS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DED"/>
          </w:tcPr>
          <w:p>
            <w:pPr>
              <w:jc w:val="center"/>
            </w:pPr>
            <w:r>
              <w:rPr>
                <w:rFonts w:ascii="Times New Roman" w:hAnsi="Times New Roman" w:eastAsia="Times New Roman"/>
                <w:b/>
                <w:sz w:val="17"/>
              </w:rPr>
              <w:t>Parameter</w:t>
            </w:r>
          </w:p>
        </w:tc>
        <w:tc>
          <w:tcPr>
            <w:tcW w:type="dxa" w:w="3408"/>
            <w:vAlign w:val="center"/>
            <w:shd w:fill="EDEDED"/>
          </w:tcPr>
          <w:p>
            <w:pPr>
              <w:jc w:val="center"/>
            </w:pPr>
            <w:r>
              <w:rPr>
                <w:rFonts w:ascii="Times New Roman" w:hAnsi="Times New Roman" w:eastAsia="Times New Roman"/>
                <w:b/>
                <w:sz w:val="17"/>
              </w:rPr>
              <w:t>Symbol</w:t>
            </w:r>
          </w:p>
        </w:tc>
        <w:tc>
          <w:tcPr>
            <w:tcW w:type="dxa" w:w="3408"/>
            <w:vAlign w:val="center"/>
            <w:shd w:fill="EDEDED"/>
          </w:tcPr>
          <w:p>
            <w:pPr>
              <w:jc w:val="center"/>
            </w:pPr>
            <w:r>
              <w:rPr>
                <w:rFonts w:ascii="Times New Roman" w:hAnsi="Times New Roman" w:eastAsia="Times New Roman"/>
                <w:b/>
                <w:sz w:val="17"/>
              </w:rPr>
              <w:t>Range</w:t>
            </w:r>
          </w:p>
        </w:tc>
      </w:tr>
      <w:tr>
        <w:tc>
          <w:tcPr>
            <w:tcW w:type="dxa" w:w="3408"/>
            <w:vAlign w:val="center"/>
          </w:tcPr>
          <w:p>
            <w:pPr>
              <w:jc w:val="center"/>
            </w:pPr>
            <w:r>
              <w:rPr>
                <w:rFonts w:ascii="Times New Roman" w:hAnsi="Times New Roman" w:eastAsia="Times New Roman"/>
                <w:b w:val="0"/>
                <w:sz w:val="17"/>
              </w:rPr>
              <w:t>Motion inertia</w:t>
            </w:r>
          </w:p>
        </w:tc>
        <w:tc>
          <w:tcPr>
            <w:tcW w:type="dxa" w:w="3408"/>
            <w:vAlign w:val="center"/>
          </w:tcPr>
          <w:p>
            <w:pPr>
              <w:jc w:val="center"/>
            </w:pPr>
            <w:r>
              <w:rPr>
                <w:rFonts w:ascii="Times New Roman" w:hAnsi="Times New Roman" w:eastAsia="Times New Roman"/>
                <w:b w:val="0"/>
                <w:sz w:val="17"/>
              </w:rPr>
              <w:t>alpha</w:t>
            </w:r>
          </w:p>
        </w:tc>
        <w:tc>
          <w:tcPr>
            <w:tcW w:type="dxa" w:w="3408"/>
            <w:vAlign w:val="center"/>
          </w:tcPr>
          <w:p>
            <w:pPr>
              <w:jc w:val="center"/>
            </w:pPr>
            <w:r>
              <w:rPr>
                <w:rFonts w:ascii="Times New Roman" w:hAnsi="Times New Roman" w:eastAsia="Times New Roman"/>
                <w:b w:val="0"/>
                <w:sz w:val="17"/>
              </w:rPr>
              <w:t>0.7</w:t>
            </w:r>
          </w:p>
        </w:tc>
      </w:tr>
      <w:tr>
        <w:tc>
          <w:tcPr>
            <w:tcW w:type="dxa" w:w="3408"/>
            <w:vAlign w:val="center"/>
          </w:tcPr>
          <w:p>
            <w:pPr>
              <w:jc w:val="center"/>
            </w:pPr>
            <w:r>
              <w:rPr>
                <w:rFonts w:ascii="Times New Roman" w:hAnsi="Times New Roman" w:eastAsia="Times New Roman"/>
                <w:b w:val="0"/>
                <w:sz w:val="17"/>
              </w:rPr>
              <w:t>Maximum acceleration</w:t>
            </w:r>
          </w:p>
        </w:tc>
        <w:tc>
          <w:tcPr>
            <w:tcW w:type="dxa" w:w="3408"/>
            <w:vAlign w:val="center"/>
          </w:tcPr>
          <w:p>
            <w:pPr>
              <w:jc w:val="center"/>
            </w:pPr>
            <w:r>
              <w:rPr>
                <w:rFonts w:ascii="Times New Roman" w:hAnsi="Times New Roman" w:eastAsia="Times New Roman"/>
                <w:b w:val="0"/>
                <w:sz w:val="17"/>
              </w:rPr>
              <w:t>a_max</w:t>
            </w:r>
          </w:p>
        </w:tc>
        <w:tc>
          <w:tcPr>
            <w:tcW w:type="dxa" w:w="3408"/>
            <w:vAlign w:val="center"/>
          </w:tcPr>
          <w:p>
            <w:pPr>
              <w:jc w:val="center"/>
            </w:pPr>
            <w:r>
              <w:rPr>
                <w:rFonts w:ascii="Times New Roman" w:hAnsi="Times New Roman" w:eastAsia="Times New Roman"/>
                <w:b w:val="0"/>
                <w:sz w:val="17"/>
              </w:rPr>
              <w:t>0.15</w:t>
            </w:r>
          </w:p>
        </w:tc>
      </w:tr>
      <w:tr>
        <w:tc>
          <w:tcPr>
            <w:tcW w:type="dxa" w:w="3408"/>
            <w:vAlign w:val="center"/>
          </w:tcPr>
          <w:p>
            <w:pPr>
              <w:jc w:val="center"/>
            </w:pPr>
            <w:r>
              <w:rPr>
                <w:rFonts w:ascii="Times New Roman" w:hAnsi="Times New Roman" w:eastAsia="Times New Roman"/>
                <w:b w:val="0"/>
                <w:sz w:val="17"/>
              </w:rPr>
              <w:t>Gaussian observation noise</w:t>
            </w:r>
          </w:p>
        </w:tc>
        <w:tc>
          <w:tcPr>
            <w:tcW w:type="dxa" w:w="3408"/>
            <w:vAlign w:val="center"/>
          </w:tcPr>
          <w:p>
            <w:pPr>
              <w:jc w:val="center"/>
            </w:pPr>
            <w:r>
              <w:rPr>
                <w:rFonts w:ascii="Times New Roman" w:hAnsi="Times New Roman" w:eastAsia="Times New Roman"/>
                <w:b w:val="0"/>
                <w:sz w:val="17"/>
              </w:rPr>
              <w:t>sigma</w:t>
            </w:r>
          </w:p>
        </w:tc>
        <w:tc>
          <w:tcPr>
            <w:tcW w:type="dxa" w:w="3408"/>
            <w:vAlign w:val="center"/>
          </w:tcPr>
          <w:p>
            <w:pPr>
              <w:jc w:val="center"/>
            </w:pPr>
            <w:r>
              <w:rPr>
                <w:rFonts w:ascii="Times New Roman" w:hAnsi="Times New Roman" w:eastAsia="Times New Roman"/>
                <w:b w:val="0"/>
                <w:sz w:val="17"/>
              </w:rPr>
              <w:t>U(0.01, 0.08)</w:t>
            </w:r>
          </w:p>
        </w:tc>
      </w:tr>
      <w:tr>
        <w:tc>
          <w:tcPr>
            <w:tcW w:type="dxa" w:w="3408"/>
            <w:vAlign w:val="center"/>
          </w:tcPr>
          <w:p>
            <w:pPr>
              <w:jc w:val="center"/>
            </w:pPr>
            <w:r>
              <w:rPr>
                <w:rFonts w:ascii="Times New Roman" w:hAnsi="Times New Roman" w:eastAsia="Times New Roman"/>
                <w:b w:val="0"/>
                <w:sz w:val="17"/>
              </w:rPr>
              <w:t>Neural delay</w:t>
            </w:r>
          </w:p>
        </w:tc>
        <w:tc>
          <w:tcPr>
            <w:tcW w:type="dxa" w:w="3408"/>
            <w:vAlign w:val="center"/>
          </w:tcPr>
          <w:p>
            <w:pPr>
              <w:jc w:val="center"/>
            </w:pPr>
            <w:r>
              <w:rPr>
                <w:rFonts w:ascii="Times New Roman" w:hAnsi="Times New Roman" w:eastAsia="Times New Roman"/>
                <w:b w:val="0"/>
                <w:sz w:val="17"/>
              </w:rPr>
              <w:t>delta</w:t>
            </w:r>
          </w:p>
        </w:tc>
        <w:tc>
          <w:tcPr>
            <w:tcW w:type="dxa" w:w="3408"/>
            <w:vAlign w:val="center"/>
          </w:tcPr>
          <w:p>
            <w:pPr>
              <w:jc w:val="center"/>
            </w:pPr>
            <w:r>
              <w:rPr>
                <w:rFonts w:ascii="Times New Roman" w:hAnsi="Times New Roman" w:eastAsia="Times New Roman"/>
                <w:b w:val="0"/>
                <w:sz w:val="17"/>
              </w:rPr>
              <w:t>0-3 frames (0-375 ms)</w:t>
            </w:r>
          </w:p>
        </w:tc>
      </w:tr>
    </w:tbl>
    <w:p>
      <w:pPr>
        <w:pStyle w:val="Heading2"/>
      </w:pPr>
      <w:r>
        <w:t>B. Dual-Stream Encoder with Future Dynamics Head</w:t>
      </w:r>
    </w:p>
    <w:p>
      <w:pPr>
        <w:ind w:firstLine="288"/>
        <w:jc w:val="both"/>
      </w:pPr>
      <w:r>
        <w:rPr>
          <w:rFonts w:ascii="Times New Roman" w:hAnsi="Times New Roman" w:eastAsia="Times New Roman"/>
          <w:b w:val="0"/>
          <w:sz w:val="20"/>
        </w:rPr>
        <w:t>The proposed domain randomization scheme exposes the robot to diverse interaction behaviors during training, but the robot does not observe the underlying behavior model directly. It must infer behavior patterns from the current interaction state and recent hand motion. The current hand position alone cannot distinguish deliberate pursuit from sensing noise, motor delay, or slow response. We therefore encode the observation with two streams, one for instantaneous geometric context and one for recent hand-motion history.</w:t>
      </w:r>
    </w:p>
    <w:p>
      <w:pPr>
        <w:ind w:firstLine="288"/>
        <w:jc w:val="both"/>
      </w:pPr>
      <w:r>
        <w:rPr>
          <w:rFonts w:ascii="Times New Roman" w:hAnsi="Times New Roman" w:eastAsia="Times New Roman"/>
          <w:b w:val="0"/>
          <w:sz w:val="20"/>
        </w:rPr>
        <w:t>At each timestep, the 44-dimensional observation vector is divided into a 12-dimensional scalar vector and a 32-dimensional temporal buffer, as shown in (6).</w:t>
      </w:r>
    </w:p>
    <w:p>
      <w:pPr>
        <w:pStyle w:val="DisplayEquation"/>
        <w:spacing w:before="60" w:after="60"/>
        <w:jc w:val="center"/>
      </w:pPr>
      <m:oMathPara>
        <m:oMath>
          <m:sSub>
            <m:e>
              <m:r>
                <m:t xml:space="preserve">o</m:t>
              </m:r>
            </m:e>
            <m:sub>
              <m:r>
                <m:t xml:space="preserve">t</m:t>
              </m:r>
            </m:sub>
          </m:sSub>
          <m:r>
            <m:t xml:space="preserve"> = [</m:t>
          </m:r>
          <m:sSub>
            <m:e>
              <m:r>
                <m:t xml:space="preserve">s</m:t>
              </m:r>
            </m:e>
            <m:sub>
              <m:r>
                <m:t xml:space="preserve">t</m:t>
              </m:r>
            </m:sub>
          </m:sSub>
          <m:r>
            <m:t xml:space="preserve">; </m:t>
          </m:r>
          <m:sSub>
            <m:e>
              <m:r>
                <m:t xml:space="preserve">h</m:t>
              </m:r>
            </m:e>
            <m:sub>
              <m:r>
                <m:t xml:space="preserve">t−T:t</m:t>
              </m:r>
            </m:sub>
          </m:sSub>
          <m:r>
            <m:t xml:space="preserve">]</m:t>
          </m:r>
          <m:r>
            <m:t xml:space="preserve">    (6)</m:t>
          </m:r>
        </m:oMath>
      </m:oMathPara>
    </w:p>
    <w:p>
      <w:pPr>
        <w:ind w:firstLine="288"/>
        <w:jc w:val="both"/>
      </w:pPr>
      <w:r>
        <w:rPr>
          <w:rFonts w:ascii="Times New Roman" w:hAnsi="Times New Roman" w:eastAsia="Times New Roman"/>
          <w:b w:val="0"/>
          <w:sz w:val="20"/>
        </w:rPr>
        <w:t>The scalar component represents the instantaneous geometry of the interaction and is defined in (7).</w:t>
      </w:r>
    </w:p>
    <w:p>
      <w:pPr>
        <w:pStyle w:val="DisplayEquation"/>
        <w:spacing w:before="60" w:after="60"/>
        <w:jc w:val="center"/>
      </w:pPr>
      <m:oMathPara>
        <m:oMath>
          <m:sSub>
            <m:e>
              <m:r>
                <m:t xml:space="preserve">s</m:t>
              </m:r>
            </m:e>
            <m:sub>
              <m:r>
                <m:t xml:space="preserve">t</m:t>
              </m:r>
            </m:sub>
          </m:sSub>
          <m:r>
            <m:t xml:space="preserve"> = [</m:t>
          </m:r>
          <m:sSub>
            <m:e>
              <m:r>
                <m:t xml:space="preserve">p</m:t>
              </m:r>
            </m:e>
            <m:sub>
              <m:r>
                <m:t xml:space="preserve">R</m:t>
              </m:r>
            </m:sub>
          </m:sSub>
          <m:r>
            <m:t xml:space="preserve">; </m:t>
          </m:r>
          <m:sSub>
            <m:e>
              <m:r>
                <m:t xml:space="preserve">p</m:t>
              </m:r>
            </m:e>
            <m:sub>
              <m:r>
                <m:t xml:space="preserve">H</m:t>
              </m:r>
            </m:sub>
          </m:sSub>
          <m:r>
            <m:t xml:space="preserve">; d(R,H); </m:t>
          </m:r>
          <m:sSub>
            <m:e>
              <m:r>
                <m:t xml:space="preserve">b</m:t>
              </m:r>
            </m:e>
            <m:sub>
              <m:r>
                <m:t xml:space="preserve">N</m:t>
              </m:r>
            </m:sub>
          </m:sSub>
          <m:r>
            <m:t xml:space="preserve">, </m:t>
          </m:r>
          <m:sSub>
            <m:e>
              <m:r>
                <m:t xml:space="preserve">b</m:t>
              </m:r>
            </m:e>
            <m:sub>
              <m:r>
                <m:t xml:space="preserve">S</m:t>
              </m:r>
            </m:sub>
          </m:sSub>
          <m:r>
            <m:t xml:space="preserve">, </m:t>
          </m:r>
          <m:sSub>
            <m:e>
              <m:r>
                <m:t xml:space="preserve">b</m:t>
              </m:r>
            </m:e>
            <m:sub>
              <m:r>
                <m:t xml:space="preserve">E</m:t>
              </m:r>
            </m:sub>
          </m:sSub>
          <m:r>
            <m:t xml:space="preserve">, </m:t>
          </m:r>
          <m:sSub>
            <m:e>
              <m:r>
                <m:t xml:space="preserve">b</m:t>
              </m:r>
            </m:e>
            <m:sub>
              <m:r>
                <m:t xml:space="preserve">W</m:t>
              </m:r>
            </m:sub>
          </m:sSub>
          <m:r>
            <m:t xml:space="preserve">; stride; </m:t>
          </m:r>
          <m:sSub>
            <m:e>
              <m:r>
                <m:t xml:space="preserve">a</m:t>
              </m:r>
            </m:e>
            <m:sub>
              <m:r>
                <m:t xml:space="preserve">t−1</m:t>
              </m:r>
            </m:sub>
          </m:sSub>
          <m:r>
            <m:t xml:space="preserve">]</m:t>
          </m:r>
          <m:r>
            <m:t xml:space="preserve">    (7)</m:t>
          </m:r>
        </m:oMath>
      </m:oMathPara>
    </w:p>
    <w:p>
      <w:pPr>
        <w:ind w:firstLine="288"/>
        <w:jc w:val="both"/>
      </w:pPr>
      <w:r>
        <w:rPr>
          <w:rFonts w:ascii="Times New Roman" w:hAnsi="Times New Roman" w:eastAsia="Times New Roman"/>
          <w:b w:val="0"/>
          <w:sz w:val="20"/>
        </w:rPr>
        <w:t>Here, p_R and p_H denote the two-dimensional positions of the microrobot and the hand. d(R,H) is their Euclidean distance. b_N, b_S, b_E, and b_W denote signed distances to the workspace boundaries. The variables stride and a_{t-1} represent the current movement step size and the previous robot action, respectively.</w:t>
      </w:r>
    </w:p>
    <w:p>
      <w:pPr>
        <w:ind w:firstLine="288"/>
        <w:jc w:val="both"/>
      </w:pPr>
      <w:r>
        <w:rPr>
          <w:rFonts w:ascii="Times New Roman" w:hAnsi="Times New Roman" w:eastAsia="Times New Roman"/>
          <w:b w:val="0"/>
          <w:sz w:val="20"/>
        </w:rPr>
        <w:t>The temporal buffer h_{t-T:t} contains the T = 16 most recent relative hand displacement vectors, forming a 32-dimensional sequence. This history allows the encoder to estimate motion direction, response delay, and oscillatory behavior that are unavailable from the current position alone. Relative displacements make the history representation translation-invariant, so the recurrent stream focuses on how the hand is moving rather than where the interaction occurs in the workspace.</w:t>
      </w:r>
    </w:p>
    <w:p>
      <w:pPr>
        <w:ind w:firstLine="288"/>
        <w:jc w:val="both"/>
      </w:pPr>
      <w:r>
        <w:rPr>
          <w:rFonts w:ascii="Times New Roman" w:hAnsi="Times New Roman" w:eastAsia="Times New Roman"/>
          <w:b w:val="0"/>
          <w:sz w:val="20"/>
        </w:rPr>
        <w:t>The scalar vector and temporal buffer are encoded in separate streams, as shown in Fig. 2. A multi-layer perceptron (MLP) extracts geometric information from the scalar state, while a gated recurrent unit (GRU) processes the displacement sequence. The two stream outputs are concatenated and passed through a fusion MLP to produce the shared representation used by the policy and value heads.</w:t>
      </w:r>
    </w:p>
    <w:p>
      <w:pPr>
        <w:jc w:val="center"/>
      </w:pPr>
      <w:r>
        <w:drawing>
          <wp:inline xmlns:a="http://schemas.openxmlformats.org/drawingml/2006/main" xmlns:pic="http://schemas.openxmlformats.org/drawingml/2006/picture">
            <wp:extent cx="6217920" cy="2892465"/>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6217920" cy="2892465"/>
                    </a:xfrm>
                    <a:prstGeom prst="rect"/>
                  </pic:spPr>
                </pic:pic>
              </a:graphicData>
            </a:graphic>
          </wp:inline>
        </w:drawing>
      </w:r>
    </w:p>
    <w:p>
      <w:pPr>
        <w:pStyle w:val="IEEECaption"/>
        <w:jc w:val="both"/>
      </w:pPr>
      <w:r>
        <w:t>Fig. 2. Dual-stream policy architecture with auxiliary future dynamics. The spatial branch encodes the geometric state, the temporal branch encodes recent interaction history with a recurrent module, and the fused representation supports both the policy-value heads and the auxiliary future-motion prediction head.</w:t>
      </w:r>
    </w:p>
    <w:p>
      <w:pPr>
        <w:ind w:firstLine="288"/>
        <w:jc w:val="both"/>
      </w:pPr>
      <w:r>
        <w:rPr>
          <w:rFonts w:ascii="Times New Roman" w:hAnsi="Times New Roman" w:eastAsia="Times New Roman"/>
          <w:b w:val="0"/>
          <w:sz w:val="20"/>
        </w:rPr>
        <w:t>The ZPD-based reward provides the main control signal, but it only supervises the encoder indirectly through policy optimization. To provide a denser learning signal for motion representation, we attach a future-dynamics head to the fused representation. The head predicts the relative hand displacement over an eight-step horizon. Because future displacements are available from the rollout, this auxiliary target requires no additional annotation.</w:t>
      </w:r>
    </w:p>
    <w:p>
      <w:pPr>
        <w:ind w:firstLine="288"/>
        <w:jc w:val="both"/>
      </w:pPr>
      <w:r>
        <w:rPr>
          <w:rFonts w:ascii="Times New Roman" w:hAnsi="Times New Roman" w:eastAsia="Times New Roman"/>
          <w:b w:val="0"/>
          <w:sz w:val="20"/>
        </w:rPr>
        <w:t>The trajectory prediction loss is given in (8).</w:t>
      </w:r>
    </w:p>
    <w:p>
      <w:pPr>
        <w:pStyle w:val="DisplayEquation"/>
        <w:spacing w:before="60" w:after="60"/>
        <w:jc w:val="center"/>
      </w:pPr>
      <m:oMathPara>
        <m:oMath>
          <m:sSub>
            <m:e>
              <m:r>
                <m:t xml:space="preserve">L</m:t>
              </m:r>
            </m:e>
            <m:sub>
              <m:r>
                <m:t xml:space="preserve">traj</m:t>
              </m:r>
            </m:sub>
          </m:sSub>
          <m:r>
            <m:t xml:space="preserve"> = E[</m:t>
          </m:r>
          <m:sSup>
            <m:e>
              <m:r>
                <m:t xml:space="preserve">‖</m:t>
              </m:r>
              <m:sSub>
                <m:e>
                  <m:r>
                    <m:t xml:space="preserve">D̂</m:t>
                  </m:r>
                </m:e>
                <m:sub>
                  <m:r>
                    <m:t xml:space="preserve">t+1:t+H</m:t>
                  </m:r>
                </m:sub>
              </m:sSub>
              <m:r>
                <m:t xml:space="preserve">−</m:t>
              </m:r>
              <m:sSub>
                <m:e>
                  <m:r>
                    <m:t xml:space="preserve">D</m:t>
                  </m:r>
                </m:e>
                <m:sub>
                  <m:r>
                    <m:t xml:space="preserve">t+1:t+H</m:t>
                  </m:r>
                </m:sub>
              </m:sSub>
              <m:r>
                <m:t xml:space="preserve">‖₂</m:t>
              </m:r>
            </m:e>
            <m:sup>
              <m:r>
                <m:t xml:space="preserve">2</m:t>
              </m:r>
            </m:sup>
          </m:sSup>
          <m:r>
            <m:t xml:space="preserve">],  H=8</m:t>
          </m:r>
          <m:r>
            <m:t xml:space="preserve">    (8)</m:t>
          </m:r>
        </m:oMath>
      </m:oMathPara>
    </w:p>
    <w:p>
      <w:pPr>
        <w:ind w:firstLine="288"/>
        <w:jc w:val="both"/>
      </w:pPr>
      <w:r>
        <w:rPr>
          <w:rFonts w:ascii="Times New Roman" w:hAnsi="Times New Roman" w:eastAsia="Times New Roman"/>
          <w:b w:val="0"/>
          <w:sz w:val="20"/>
        </w:rPr>
        <w:t>where D_hat_{t+1:t+H} is the predicted future displacement sequence and D_{t+1:t+H} is the observed future displacement sequence. The full training objective combines the PPO loss with the auxiliary trajectory-prediction loss in (9).</w:t>
      </w:r>
    </w:p>
    <w:p>
      <w:pPr>
        <w:pStyle w:val="DisplayEquation"/>
        <w:spacing w:before="60" w:after="60"/>
        <w:jc w:val="center"/>
      </w:pPr>
      <m:oMathPara>
        <m:oMath>
          <m:sSub>
            <m:e>
              <m:r>
                <m:t xml:space="preserve">L</m:t>
              </m:r>
            </m:e>
            <m:sub>
              <m:r>
                <m:t xml:space="preserve">total</m:t>
              </m:r>
            </m:sub>
          </m:sSub>
          <m:r>
            <m:t xml:space="preserve"> = </m:t>
          </m:r>
          <m:sSub>
            <m:e>
              <m:r>
                <m:t xml:space="preserve">L</m:t>
              </m:r>
            </m:e>
            <m:sub>
              <m:r>
                <m:t xml:space="preserve">PPO</m:t>
              </m:r>
            </m:sub>
          </m:sSub>
          <m:r>
            <m:t xml:space="preserve"> + </m:t>
          </m:r>
          <m:sSub>
            <m:e>
              <m:r>
                <m:t xml:space="preserve">λ</m:t>
              </m:r>
            </m:e>
            <m:sub>
              <m:r>
                <m:t xml:space="preserve">traj</m:t>
              </m:r>
            </m:sub>
          </m:sSub>
          <m:sSub>
            <m:e>
              <m:r>
                <m:t xml:space="preserve">L</m:t>
              </m:r>
            </m:e>
            <m:sub>
              <m:r>
                <m:t xml:space="preserve">traj</m:t>
              </m:r>
            </m:sub>
          </m:sSub>
          <m:r>
            <m:t xml:space="preserve">    (9)</m:t>
          </m:r>
        </m:oMath>
      </m:oMathPara>
    </w:p>
    <w:p>
      <w:pPr>
        <w:ind w:firstLine="288"/>
        <w:jc w:val="both"/>
      </w:pPr>
      <w:r>
        <w:rPr>
          <w:rFonts w:ascii="Times New Roman" w:hAnsi="Times New Roman" w:eastAsia="Times New Roman"/>
          <w:b w:val="0"/>
          <w:sz w:val="20"/>
        </w:rPr>
        <w:t>where lambda_traj controls the auxiliary loss weight. Because the future-dynamics head shares the encoder with the policy, its gradients also update the spatial and temporal streams. These auxiliary gradients encourage the encoder to capture motion inertia, delay, and interaction dynamics, helping the policy anticipate near-future hand motion from recent history.</w:t>
      </w:r>
    </w:p>
    <w:p>
      <w:pPr>
        <w:pStyle w:val="Heading2"/>
      </w:pPr>
      <w:r>
        <w:t>C. League Training</w:t>
      </w:r>
    </w:p>
    <w:p>
      <w:pPr>
        <w:ind w:firstLine="288"/>
        <w:jc w:val="both"/>
      </w:pPr>
      <w:r>
        <w:rPr>
          <w:rFonts w:ascii="Times New Roman" w:hAnsi="Times New Roman" w:eastAsia="Times New Roman"/>
          <w:b w:val="0"/>
          <w:sz w:val="20"/>
        </w:rPr>
        <w:t>Even with a well-designed motion representation, achieving stable and adaptive difficulty regulation remains challenging when the training distribution lacks diversity in hand behaviors. A robot trained against a single hand policy may over-specialize to that policy and fail when the pursuit strategy changes. At the same time, training the robot and hand policies simultaneously creates a non-stationary learning problem. The actions of both agents jointly determine the next environment state, so each agent’s transition dynamics and resulting returns are directly influenced by the current policy of the other agent. When both policies are updated together, each update changes the environment faced by the other policy, violating the stationarity assumption of PPO. In practice, the interaction can enter a cycle in which the robot exploits the current hand policy, the hand adapts, and the robot loses strategies that were useful against earlier hands.</w:t>
      </w:r>
    </w:p>
    <w:p>
      <w:pPr>
        <w:ind w:firstLine="288"/>
        <w:jc w:val="both"/>
      </w:pPr>
      <w:r>
        <w:rPr>
          <w:rFonts w:ascii="Times New Roman" w:hAnsi="Times New Roman" w:eastAsia="Times New Roman"/>
          <w:b w:val="0"/>
          <w:sz w:val="20"/>
        </w:rPr>
        <w:t>We address these two issues separately. To reduce non-stationarity, one side of the interaction is frozen while the other is trained. During robot training, the hand policies are fixed and treated as part of the environment. During hand training, the robot policy is fixed. To reduce over-specialization, the robot is trained against an opponent pool P that retains the SPC and learned hand policies from different training stages. Each hand policy is a scripted or learned controller that generates hand motion in simulation. A pool with the SPC and multiple learned hand policies exposes the robot to direct pursuit behavior as well as more strategic interception patterns.</w:t>
      </w:r>
    </w:p>
    <w:p>
      <w:pPr>
        <w:ind w:firstLine="288"/>
        <w:jc w:val="both"/>
      </w:pPr>
      <w:r>
        <w:rPr>
          <w:rFonts w:ascii="Times New Roman" w:hAnsi="Times New Roman" w:eastAsia="Times New Roman"/>
          <w:b w:val="0"/>
          <w:sz w:val="20"/>
        </w:rPr>
        <w:t>The training objective also differs from that of a purely competitive game. The robot should not simply learn to defeat the hand. It should maintain an appropriate level of challenge for users with different movement patterns. For this reason, the opponent pool is used not to maximize adversarial difficulty, but to broaden the range of hand behaviors under which the robot must maintain the ZPD interaction.</w:t>
      </w:r>
    </w:p>
    <w:p>
      <w:pPr>
        <w:ind w:firstLine="288"/>
        <w:jc w:val="both"/>
      </w:pPr>
      <w:r>
        <w:rPr>
          <w:rFonts w:ascii="Times New Roman" w:hAnsi="Times New Roman" w:eastAsia="Times New Roman"/>
          <w:b w:val="0"/>
          <w:sz w:val="20"/>
        </w:rPr>
        <w:t>The iterative procedure is formalized in Algorithm 1. Each iteration has two phases. In the robot phase, the opponent pool P is fixed, and the robot policy is trained with PPO against hand policies sampled from the pool. In the hand phase, a new learned hand policy is initialized from the previous learned hand policy and further trained against the current fixed robot policy. The trained hand policy is then added to P, increasing the diversity of hand behaviors used in the next robot training phase.</w:t>
      </w:r>
    </w:p>
    <w:p>
      <w:pPr>
        <w:pStyle w:val="IEEECaption"/>
        <w:jc w:val="center"/>
      </w:pPr>
      <w:r>
        <w:rPr>
          <w:rFonts w:ascii="Times New Roman" w:hAnsi="Times New Roman" w:eastAsia="Times New Roman"/>
          <w:b/>
          <w:sz w:val="18"/>
        </w:rPr>
        <w:t>Algorithm 1: Iterative League Training</w:t>
      </w:r>
    </w:p>
    <w:p>
      <w:pPr>
        <w:pStyle w:val="AlgorithmText"/>
        <w:spacing w:after="20"/>
        <w:ind w:left="360"/>
      </w:pPr>
      <w:r>
        <w:rPr>
          <w:rFonts w:ascii="Times New Roman" w:hAnsi="Times New Roman" w:eastAsia="Times New Roman"/>
          <w:b/>
          <w:sz w:val="18"/>
        </w:rPr>
        <w:t>Input:</w:t>
      </w:r>
      <w:r>
        <w:rPr>
          <w:rFonts w:ascii="Times New Roman" w:hAnsi="Times New Roman" w:eastAsia="Times New Roman"/>
          <w:b w:val="0"/>
          <w:sz w:val="18"/>
        </w:rPr>
        <w:t xml:space="preserve"> initial robot policy $\pi_R^{(0)}$, scripted pursuit controller $\pi_H^{\mathrm{SPC}}$, number of league iterations $N$.</w:t>
      </w:r>
    </w:p>
    <w:p>
      <w:pPr>
        <w:pStyle w:val="AlgorithmText"/>
        <w:spacing w:after="20"/>
        <w:ind w:left="360"/>
      </w:pPr>
      <w:r>
        <w:rPr>
          <w:rFonts w:ascii="Times New Roman" w:hAnsi="Times New Roman" w:eastAsia="Times New Roman"/>
          <w:b/>
          <w:sz w:val="18"/>
        </w:rPr>
        <w:t>Initialize:</w:t>
      </w:r>
      <w:r>
        <w:rPr>
          <w:rFonts w:ascii="Times New Roman" w:hAnsi="Times New Roman" w:eastAsia="Times New Roman"/>
          <w:b w:val="0"/>
          <w:sz w:val="18"/>
        </w:rPr>
        <w:t xml:space="preserve"> opponent pool $\mathcal{P} \leftarrow \{\pi_H^{\mathrm{SPC}}\}$.</w:t>
      </w:r>
    </w:p>
    <w:p>
      <w:pPr>
        <w:pStyle w:val="AlgorithmText"/>
        <w:spacing w:after="20"/>
        <w:ind w:left="360"/>
      </w:pPr>
      <w:r>
        <w:rPr>
          <w:rFonts w:ascii="Times New Roman" w:hAnsi="Times New Roman" w:eastAsia="Times New Roman"/>
          <w:b w:val="0"/>
          <w:sz w:val="18"/>
        </w:rPr>
        <w:t xml:space="preserve">1. </w:t>
      </w:r>
      <w:r>
        <w:rPr>
          <w:rFonts w:ascii="Times New Roman" w:hAnsi="Times New Roman" w:eastAsia="Times New Roman"/>
          <w:b/>
          <w:sz w:val="18"/>
        </w:rPr>
        <w:t>for</w:t>
      </w:r>
      <w:r>
        <w:rPr>
          <w:rFonts w:ascii="Times New Roman" w:hAnsi="Times New Roman" w:eastAsia="Times New Roman"/>
          <w:b w:val="0"/>
          <w:sz w:val="18"/>
        </w:rPr>
        <w:t xml:space="preserve"> $n=1,2,\ldots,N$ </w:t>
      </w:r>
      <w:r>
        <w:rPr>
          <w:rFonts w:ascii="Times New Roman" w:hAnsi="Times New Roman" w:eastAsia="Times New Roman"/>
          <w:b/>
          <w:sz w:val="18"/>
        </w:rPr>
        <w:t>do</w:t>
      </w:r>
    </w:p>
    <w:p>
      <w:pPr>
        <w:pStyle w:val="AlgorithmText"/>
        <w:spacing w:after="20"/>
        <w:ind w:left="360"/>
      </w:pPr>
      <w:r>
        <w:rPr>
          <w:rFonts w:ascii="Times New Roman" w:hAnsi="Times New Roman" w:eastAsia="Times New Roman"/>
          <w:b w:val="0"/>
          <w:sz w:val="18"/>
        </w:rPr>
        <w:t>2.      Train robot policy $\pi_R^{(n)}$ with PPO against opponents sampled from $\mathcal{P}$.</w:t>
      </w:r>
    </w:p>
    <w:p>
      <w:pPr>
        <w:pStyle w:val="AlgorithmText"/>
        <w:spacing w:after="20"/>
        <w:ind w:left="360"/>
      </w:pPr>
      <w:r>
        <w:rPr>
          <w:rFonts w:ascii="Times New Roman" w:hAnsi="Times New Roman" w:eastAsia="Times New Roman"/>
          <w:b w:val="0"/>
          <w:sz w:val="18"/>
        </w:rPr>
        <w:t>3.      Initialize hand policy $\pi_H^{(n)}$ from $\pi_H^{(n-1)}$ when available.</w:t>
      </w:r>
    </w:p>
    <w:p>
      <w:pPr>
        <w:pStyle w:val="AlgorithmText"/>
        <w:spacing w:after="20"/>
        <w:ind w:left="360"/>
      </w:pPr>
      <w:r>
        <w:rPr>
          <w:rFonts w:ascii="Times New Roman" w:hAnsi="Times New Roman" w:eastAsia="Times New Roman"/>
          <w:b w:val="0"/>
          <w:sz w:val="18"/>
        </w:rPr>
        <w:t>4.      Train $\pi_H^{(n)}$ against the frozen robot policy $\pi_R^{(n)}$.</w:t>
      </w:r>
    </w:p>
    <w:p>
      <w:pPr>
        <w:pStyle w:val="AlgorithmText"/>
        <w:spacing w:after="20"/>
        <w:ind w:left="360"/>
      </w:pPr>
      <w:r>
        <w:rPr>
          <w:rFonts w:ascii="Times New Roman" w:hAnsi="Times New Roman" w:eastAsia="Times New Roman"/>
          <w:b w:val="0"/>
          <w:sz w:val="18"/>
        </w:rPr>
        <w:t>5.      Update opponent pool $\mathcal{P} \leftarrow \mathcal{P} \cup \{\pi_H^{(n)}\}$.</w:t>
      </w:r>
    </w:p>
    <w:p>
      <w:pPr>
        <w:pStyle w:val="AlgorithmText"/>
        <w:spacing w:after="20"/>
        <w:ind w:left="360"/>
      </w:pPr>
      <w:r>
        <w:rPr>
          <w:rFonts w:ascii="Times New Roman" w:hAnsi="Times New Roman" w:eastAsia="Times New Roman"/>
          <w:b w:val="0"/>
          <w:sz w:val="18"/>
        </w:rPr>
        <w:t xml:space="preserve">6. </w:t>
      </w:r>
      <w:r>
        <w:rPr>
          <w:rFonts w:ascii="Times New Roman" w:hAnsi="Times New Roman" w:eastAsia="Times New Roman"/>
          <w:b/>
          <w:sz w:val="18"/>
        </w:rPr>
        <w:t>end for</w:t>
      </w:r>
    </w:p>
    <w:p>
      <w:pPr>
        <w:ind w:firstLine="288"/>
        <w:jc w:val="both"/>
      </w:pPr>
      <w:r>
        <w:rPr>
          <w:rFonts w:ascii="Times New Roman" w:hAnsi="Times New Roman" w:eastAsia="Times New Roman"/>
          <w:b w:val="0"/>
          <w:sz w:val="20"/>
        </w:rPr>
        <w:t>Uniform sampling from the learned-hand pool is inefficient because different learned hand policies provide different levels of challenge to the current robot. The implemented Prioritized Fictitious Self-Play (PFSP) rule uses recent episode length as the competitiveness signal. For learned hand i, let l_bar_i denote its mean episode length in a rolling window. If fewer than 20 recent episodes are available for a learned hand, its length estimate is replaced by the median of the available estimates. If no estimates are available, the learned-hand distribution is uniform. The priority score and learned-hand sampling distribution are defined in (10).</w:t>
      </w:r>
    </w:p>
    <w:p>
      <w:pPr>
        <w:pStyle w:val="DisplayEquation"/>
        <w:spacing w:before="60" w:after="60"/>
        <w:jc w:val="center"/>
      </w:pPr>
      <m:oMathPara>
        <m:oMath>
          <m:sSub>
            <m:e>
              <m:r>
                <m:t xml:space="preserve">ℓ̄</m:t>
              </m:r>
            </m:e>
            <m:sub>
              <m:r>
                <m:t xml:space="preserve">ref</m:t>
              </m:r>
            </m:sub>
          </m:sSub>
          <m:r>
            <m:t xml:space="preserve"> = max_j </m:t>
          </m:r>
          <m:sSub>
            <m:e>
              <m:r>
                <m:t xml:space="preserve">ℓ̄</m:t>
              </m:r>
            </m:e>
            <m:sub>
              <m:r>
                <m:t xml:space="preserve">j</m:t>
              </m:r>
            </m:sub>
          </m:sSub>
          <m:r>
            <m:t xml:space="preserve">,  γ = </m:t>
          </m:r>
          <m:f>
            <m:fPr>
              <m:type m:val="bar"/>
            </m:fPr>
            <m:num>
              <m:sSub>
                <m:e>
                  <m:r>
                    <m:t xml:space="preserve">α</m:t>
                  </m:r>
                </m:e>
                <m:sub>
                  <m:r>
                    <m:t xml:space="preserve">PFSP</m:t>
                  </m:r>
                </m:sub>
              </m:sSub>
            </m:num>
            <m:den>
              <m:r>
                <m:t xml:space="preserve">τ</m:t>
              </m:r>
            </m:den>
          </m:f>
        </m:oMath>
      </m:oMathPara>
      <w:r>
        <w:br/>
      </w:r>
      <m:oMathPara>
        <m:oMath>
          <m:sSub>
            <m:e>
              <m:r>
                <m:t xml:space="preserve">s</m:t>
              </m:r>
            </m:e>
            <m:sub>
              <m:r>
                <m:t xml:space="preserve">i</m:t>
              </m:r>
            </m:sub>
          </m:sSub>
          <m:r>
            <m:t xml:space="preserve"> = </m:t>
          </m:r>
          <m:sSup>
            <m:e>
              <m:r>
                <m:t xml:space="preserve">(</m:t>
              </m:r>
              <m:f>
                <m:fPr>
                  <m:type m:val="bar"/>
                </m:fPr>
                <m:num>
                  <m:sSub>
                    <m:e>
                      <m:r>
                        <m:t xml:space="preserve">ℓ̄</m:t>
                      </m:r>
                    </m:e>
                    <m:sub>
                      <m:r>
                        <m:t xml:space="preserve">ref</m:t>
                      </m:r>
                    </m:sub>
                  </m:sSub>
                </m:num>
                <m:den>
                  <m:r>
                    <m:t xml:space="preserve">max(</m:t>
                  </m:r>
                  <m:sSub>
                    <m:e>
                      <m:r>
                        <m:t xml:space="preserve">ℓ̄</m:t>
                      </m:r>
                    </m:e>
                    <m:sub>
                      <m:r>
                        <m:t xml:space="preserve">i</m:t>
                      </m:r>
                    </m:sub>
                  </m:sSub>
                  <m:r>
                    <m:t xml:space="preserve">,1)</m:t>
                  </m:r>
                </m:den>
              </m:f>
              <m:r>
                <m:t xml:space="preserve">)</m:t>
              </m:r>
            </m:e>
            <m:sup>
              <m:r>
                <m:t xml:space="preserve">γ</m:t>
              </m:r>
            </m:sup>
          </m:sSup>
          <m:r>
            <m:t xml:space="preserve">,  </m:t>
          </m:r>
          <m:sSub>
            <m:e>
              <m:r>
                <m:t xml:space="preserve">r</m:t>
              </m:r>
            </m:e>
            <m:sub>
              <m:r>
                <m:t xml:space="preserve">i</m:t>
              </m:r>
            </m:sub>
          </m:sSub>
          <m:r>
            <m:t xml:space="preserve"> = </m:t>
          </m:r>
          <m:f>
            <m:fPr>
              <m:type m:val="bar"/>
            </m:fPr>
            <m:num>
              <m:sSub>
                <m:e>
                  <m:r>
                    <m:t xml:space="preserve">s</m:t>
                  </m:r>
                </m:e>
                <m:sub>
                  <m:r>
                    <m:t xml:space="preserve">i</m:t>
                  </m:r>
                </m:sub>
              </m:sSub>
            </m:num>
            <m:den>
              <m:r>
                <m:t xml:space="preserve">∑</m:t>
              </m:r>
              <m:sSub>
                <m:e>
                  <m:r>
                    <m:t xml:space="preserve">s</m:t>
                  </m:r>
                </m:e>
                <m:sub>
                  <m:r>
                    <m:t xml:space="preserve">j</m:t>
                  </m:r>
                </m:sub>
              </m:sSub>
            </m:den>
          </m:f>
        </m:oMath>
      </m:oMathPara>
      <w:r>
        <w:br/>
      </w:r>
      <m:oMathPara>
        <m:oMath>
          <m:sSub>
            <m:e>
              <m:r>
                <m:t xml:space="preserve">p̃</m:t>
              </m:r>
            </m:e>
            <m:sub>
              <m:r>
                <m:t xml:space="preserve">i</m:t>
              </m:r>
            </m:sub>
          </m:sSub>
          <m:r>
            <m:t xml:space="preserve"> = (1−μ)</m:t>
          </m:r>
          <m:sSub>
            <m:e>
              <m:r>
                <m:t xml:space="preserve">r</m:t>
              </m:r>
            </m:e>
            <m:sub>
              <m:r>
                <m:t xml:space="preserve">i</m:t>
              </m:r>
            </m:sub>
          </m:sSub>
          <m:r>
            <m:t xml:space="preserve"> + </m:t>
          </m:r>
          <m:f>
            <m:fPr>
              <m:type m:val="bar"/>
            </m:fPr>
            <m:num>
              <m:r>
                <m:t xml:space="preserve">μ</m:t>
              </m:r>
            </m:num>
            <m:den>
              <m:r>
                <m:t xml:space="preserve">m</m:t>
              </m:r>
            </m:den>
          </m:f>
          <m:r>
            <m:t xml:space="preserve">    (10)</m:t>
          </m:r>
        </m:oMath>
      </m:oMathPara>
    </w:p>
    <w:p>
      <w:pPr>
        <w:pStyle w:val="DisplayEquation"/>
        <w:spacing w:before="60" w:after="60"/>
        <w:jc w:val="center"/>
      </w:pPr>
      <m:oMathPara>
        <m:oMath>
          <m:r>
            <m:t xml:space="preserve">Pr(SPC) = </m:t>
          </m:r>
          <m:sSub>
            <m:e>
              <m:r>
                <m:t xml:space="preserve">p</m:t>
              </m:r>
            </m:e>
            <m:sub>
              <m:r>
                <m:t xml:space="preserve">SPC</m:t>
              </m:r>
            </m:sub>
          </m:sSub>
          <m:r>
            <m:t xml:space="preserve">,  Pr(</m:t>
          </m:r>
          <m:sSub>
            <m:e>
              <m:r>
                <m:t xml:space="preserve">H</m:t>
              </m:r>
            </m:e>
            <m:sub>
              <m:r>
                <m:t xml:space="preserve">i</m:t>
              </m:r>
            </m:sub>
          </m:sSub>
          <m:r>
            <m:t xml:space="preserve">) = (1−</m:t>
          </m:r>
          <m:sSub>
            <m:e>
              <m:r>
                <m:t xml:space="preserve">p</m:t>
              </m:r>
            </m:e>
            <m:sub>
              <m:r>
                <m:t xml:space="preserve">SPC</m:t>
              </m:r>
            </m:sub>
          </m:sSub>
          <m:r>
            <m:t xml:space="preserve">)</m:t>
          </m:r>
          <m:sSub>
            <m:e>
              <m:r>
                <m:t xml:space="preserve">p̃</m:t>
              </m:r>
            </m:e>
            <m:sub>
              <m:r>
                <m:t xml:space="preserve">i</m:t>
              </m:r>
            </m:sub>
          </m:sSub>
          <m:r>
            <m:t xml:space="preserve">    (11)</m:t>
          </m:r>
        </m:oMath>
      </m:oMathPara>
    </w:p>
    <w:p>
      <w:pPr>
        <w:pStyle w:val="DisplayEquation"/>
        <w:spacing w:before="60" w:after="60"/>
        <w:jc w:val="center"/>
      </w:pPr>
      <m:oMathPara>
        <m:oMath>
          <m:r>
            <m:t xml:space="preserve"/>
          </m:r>
        </m:oMath>
      </m:oMathPara>
    </w:p>
    <w:p>
      <w:pPr>
        <w:ind w:firstLine="288"/>
        <w:jc w:val="both"/>
      </w:pPr>
      <w:r>
        <w:rPr>
          <w:rFonts w:ascii="Times New Roman" w:hAnsi="Times New Roman" w:eastAsia="Times New Roman"/>
          <w:b w:val="0"/>
          <w:sz w:val="20"/>
        </w:rPr>
        <w:t>Here, m is the number of learned hand policies, alpha_PFSP controls the strength of prioritization, tau is the temperature, and mu is the uniform exploration mass. The PFSP coefficient alpha_PFSP is a sampling-priority exponent and is unrelated to the motor-inertia coefficient alpha in Table I. A shorter recent episode length yields a larger priority score, so learned hand policies that still challenge the current robot are sampled more often. The uniform mixture keeps every learned hand policy available.</w:t>
      </w:r>
    </w:p>
    <w:p>
      <w:pPr>
        <w:ind w:firstLine="288"/>
        <w:jc w:val="both"/>
      </w:pPr>
      <w:r>
        <w:rPr>
          <w:rFonts w:ascii="Times New Roman" w:hAnsi="Times New Roman" w:eastAsia="Times New Roman"/>
          <w:b w:val="0"/>
          <w:sz w:val="20"/>
        </w:rPr>
        <w:t>The SPC is sampled outside the learned-hand PFSP distribution with a fixed probability p_SPC. The final opponent-sampling rule is given in (11).</w:t>
      </w:r>
    </w:p>
    <w:p>
      <w:pPr>
        <w:pStyle w:val="DisplayEquation"/>
        <w:spacing w:before="60" w:after="60"/>
        <w:jc w:val="center"/>
      </w:pPr>
      <m:oMathPara>
        <m:oMath>
          <m:r>
            <m:t xml:space="preserve"/>
          </m:r>
        </m:oMath>
      </m:oMathPara>
    </w:p>
    <w:p>
      <w:pPr>
        <w:ind w:firstLine="288"/>
        <w:jc w:val="both"/>
      </w:pPr>
      <w:r>
        <w:rPr>
          <w:rFonts w:ascii="Times New Roman" w:hAnsi="Times New Roman" w:eastAsia="Times New Roman"/>
          <w:b w:val="0"/>
          <w:sz w:val="20"/>
        </w:rPr>
        <w:t>In our implementation, the rolling window contains 2000 episodes, alpha_PFSP = 1.0, tau = 1.0, mu = 0.05, and p_SPC = 0.20. Keeping the SPC in the pool reduces the risk that the robot overfits to artifacts of learned hand policies, while PFSP concentrates learned-policy sampling on opponents that remain challenging for the current robot generation.</w:t>
      </w:r>
    </w:p>
    <w:p>
      <w:pPr>
        <w:pStyle w:val="Heading1"/>
      </w:pPr>
      <w:r>
        <w:t>IV. EXPERIMENTS AND RESULTS</w:t>
      </w:r>
    </w:p>
    <w:p>
      <w:pPr>
        <w:ind w:firstLine="288"/>
        <w:jc w:val="both"/>
      </w:pPr>
      <w:r>
        <w:rPr>
          <w:rFonts w:ascii="Times New Roman" w:hAnsi="Times New Roman" w:eastAsia="Times New Roman"/>
          <w:b w:val="0"/>
          <w:sz w:val="20"/>
        </w:rPr>
        <w:t>The evaluation combines simulation experiments with a physical deployment test. The simulation experiments measure robustness across hand behaviors and isolate the contribution of temporal hand-history encoding. The physical deployment test evaluates whether the learned policy can run inside the real-time perception-control stack on the UR10 platform and whether the realized motion responds coherently to measured hand movement.</w:t>
      </w:r>
    </w:p>
    <w:p>
      <w:pPr>
        <w:pStyle w:val="Heading2"/>
      </w:pPr>
      <w:r>
        <w:t>A. Simulation Protocol and Metrics</w:t>
      </w:r>
    </w:p>
    <w:p>
      <w:pPr>
        <w:ind w:firstLine="288"/>
        <w:jc w:val="both"/>
      </w:pPr>
      <w:r>
        <w:rPr>
          <w:rFonts w:ascii="Times New Roman" w:hAnsi="Times New Roman" w:eastAsia="Times New Roman"/>
          <w:b w:val="0"/>
          <w:sz w:val="20"/>
        </w:rPr>
        <w:t>Simulation experiments were conducted in the pursuit-evasion environment described in Section II and instantiated with the hand-behavior models introduced in Section III. The robot controlled the magnetic microrobot, while the hand trajectory was generated by one of three evaluation interfaces. The first was the stochastic scripted pursuit controller, the second was a trained hand policy, and the third was a mouse-operated hand interface used for human-in-the-loop stress testing. The ZPD interval was fixed to 3.5-5.5 workspace units, and an interaction step was classified as in-zone when the Euclidean distance between the hand and the microrobot fell within this interval.</w:t>
      </w:r>
    </w:p>
    <w:p>
      <w:pPr>
        <w:ind w:firstLine="288"/>
        <w:jc w:val="both"/>
      </w:pPr>
      <w:r>
        <w:rPr>
          <w:rFonts w:ascii="Times New Roman" w:hAnsi="Times New Roman" w:eastAsia="Times New Roman"/>
          <w:b w:val="0"/>
          <w:sz w:val="20"/>
        </w:rPr>
        <w:t>Time-In-Zone (TIZ) was used as the primary outcome measure and was computed as the fraction of the full episode horizon spent inside the ZPD interval. Additional metrics were included to separate distinct failure modes of adaptive difficulty regulation. ZPD coverage measures the in-zone fraction over the realized portion of an episode, episode length measures how long the interaction remains active, and catch rate measures the frequency with which the microrobot is reached too quickly. For league evaluation, robustness across learned hand policies was summarized using mean TIZ, worst-hand TIZ, and Conditional Value-at-Risk over the worst 20% of hand policies (CVaR20) of TIZ.</w:t>
      </w:r>
    </w:p>
    <w:p>
      <w:pPr>
        <w:ind w:firstLine="288"/>
        <w:jc w:val="both"/>
      </w:pPr>
      <w:r>
        <w:rPr>
          <w:rFonts w:ascii="Times New Roman" w:hAnsi="Times New Roman" w:eastAsia="Times New Roman"/>
          <w:b w:val="0"/>
          <w:sz w:val="20"/>
        </w:rPr>
        <w:t>Two simulation comparisons were performed. The training-protocol comparison evaluated a robot trained only with the stochastic scripted pursuit controller, a robot trained against a single learned hand policy, and a robot trained through iterative league expansion. The representation comparison evaluated a feed-forward MLP policy, a GRU policy that encodes recent hand displacement, and a GRU policy trained with the auxiliary future-dynamics objective. The physical UR10 experiment used the same observation definition but was analyzed separately because camera latency, robot communication, and fixed-rate control introduce constraints that are absent from the simulation protocol.</w:t>
      </w:r>
    </w:p>
    <w:p>
      <w:pPr>
        <w:pStyle w:val="Heading2"/>
      </w:pPr>
      <w:r>
        <w:t>B. League Training and Cross-Hand Robustness</w:t>
      </w:r>
    </w:p>
    <w:p>
      <w:pPr>
        <w:ind w:firstLine="288"/>
        <w:jc w:val="both"/>
      </w:pPr>
      <w:r>
        <w:rPr>
          <w:rFonts w:ascii="Times New Roman" w:hAnsi="Times New Roman" w:eastAsia="Times New Roman"/>
          <w:b w:val="0"/>
          <w:sz w:val="20"/>
        </w:rPr>
        <w:t>The league evaluation tests whether opponent-pool training reduces the brittle specialization that can occur when the robot is optimized against a single hand model. The robot is trained for ten generations while the hand pool is expanded with learned hand policies.</w:t>
      </w:r>
    </w:p>
    <w:p>
      <w:pPr>
        <w:ind w:firstLine="288"/>
        <w:jc w:val="both"/>
      </w:pPr>
      <w:r>
        <w:rPr>
          <w:rFonts w:ascii="Times New Roman" w:hAnsi="Times New Roman" w:eastAsia="Times New Roman"/>
          <w:b w:val="0"/>
          <w:sz w:val="20"/>
        </w:rPr>
        <w:t>League training improves both average behavior and difficult-case behavior, as shown in Fig. 3. The cross-iteration validation matrix evaluates each robot generation against each learned hand policy. Earlier learned hand policies remain comparatively easy to regulate, whereas later policies introduce pursuit strategies that are harder for narrow training regimes. Later robot generations improve across a broader portion of this matrix, indicating that the league does not merely produce a policy that performs well on the final learned hand policy.</w:t>
      </w:r>
    </w:p>
    <w:p>
      <w:pPr>
        <w:ind w:firstLine="288"/>
        <w:jc w:val="both"/>
      </w:pPr>
      <w:r>
        <w:rPr>
          <w:rFonts w:ascii="Times New Roman" w:hAnsi="Times New Roman" w:eastAsia="Times New Roman"/>
          <w:b w:val="0"/>
          <w:sz w:val="20"/>
        </w:rPr>
        <w:t>Lower-tail robustness is important for adaptive difficulty regulation. Mean TIZ improves across generations, but worst-hand TIZ and CVaR20 also improve. A controller that raises only the average score could still fail for users with more difficult movement patterns. The frontier view shows that later robot generations move toward policies that retain useful ZPD regulation even on harder hand policies.</w:t>
      </w:r>
    </w:p>
    <w:p>
      <w:pPr>
        <w:ind w:firstLine="288"/>
        <w:jc w:val="both"/>
      </w:pPr>
      <w:r>
        <w:rPr>
          <w:rFonts w:ascii="Times New Roman" w:hAnsi="Times New Roman" w:eastAsia="Times New Roman"/>
          <w:b w:val="0"/>
          <w:sz w:val="20"/>
        </w:rPr>
        <w:t>The final-generation results clarify the remaining failure modes. Some hand policies still create episodes that become too close, while others push the robot toward too-far interactions. Separating these modes matters because both reduce task utility for different reasons. Too-close interactions make the task too easy, while too-far interactions make the task discouraging or unreachable. The league policy maintains useful ZPD coverage despite these different failure patterns, suggesting that the learned behavior is balanced rather than tuned to one type of opponent.</w:t>
      </w:r>
    </w:p>
    <w:p>
      <w:pPr>
        <w:ind w:firstLine="288"/>
        <w:jc w:val="both"/>
      </w:pPr>
      <w:r>
        <w:rPr>
          <w:rFonts w:ascii="Times New Roman" w:hAnsi="Times New Roman" w:eastAsia="Times New Roman"/>
          <w:b w:val="0"/>
          <w:sz w:val="20"/>
        </w:rPr>
        <w:t>The PFSP sampling traces link this balanced performance to the curriculum induced by opponent sampling. Sampling probability shifts toward learned hand policies that remain challenging for the current robot generation, while the uniform mixture and fixed SPC probability keep earlier and rule-based pursuit behaviors available. As the league evolves, difficult learned opponents receive more attention without removing simpler pursuit behavior from the training distribution.</w:t>
      </w:r>
    </w:p>
    <w:p>
      <w:pPr>
        <w:jc w:val="center"/>
      </w:pPr>
      <w:r>
        <w:drawing>
          <wp:inline xmlns:a="http://schemas.openxmlformats.org/drawingml/2006/main" xmlns:pic="http://schemas.openxmlformats.org/drawingml/2006/picture">
            <wp:extent cx="6035040" cy="2780162"/>
            <wp:docPr id="3" name="Picture 3"/>
            <wp:cNvGraphicFramePr>
              <a:graphicFrameLocks noChangeAspect="1"/>
            </wp:cNvGraphicFramePr>
            <a:graphic>
              <a:graphicData uri="http://schemas.openxmlformats.org/drawingml/2006/picture">
                <pic:pic>
                  <pic:nvPicPr>
                    <pic:cNvPr id="0" name="fig_sim01_league_overview_no_title.png"/>
                    <pic:cNvPicPr/>
                  </pic:nvPicPr>
                  <pic:blipFill>
                    <a:blip r:embed="rId11"/>
                    <a:stretch>
                      <a:fillRect/>
                    </a:stretch>
                  </pic:blipFill>
                  <pic:spPr>
                    <a:xfrm>
                      <a:off x="0" y="0"/>
                      <a:ext cx="6035040" cy="2780162"/>
                    </a:xfrm>
                    <a:prstGeom prst="rect"/>
                  </pic:spPr>
                </pic:pic>
              </a:graphicData>
            </a:graphic>
          </wp:inline>
        </w:drawing>
      </w:r>
    </w:p>
    <w:p>
      <w:pPr>
        <w:pStyle w:val="IEEECaption"/>
        <w:jc w:val="both"/>
      </w:pPr>
      <w:r>
        <w:t>Fig. 3. League-training validation and opponent-sampling dynamics for the no-opponent-ID ZPD 3.5-5.5 simulation. (a) Cross-iteration TIZ matrix between robot generations and learned hand generations. (b) Mean, worst-hand, and CVaR20 TIZ across robot generations. (c) Robustness frontier relating mean TIZ, worst-hand TIZ, and CVaR20. (d) Final-generation failure decomposition showing too-close rate, too-far rate, and ZPD coverage across test hands. (e) PFSP sampling-probability snapshots during selected training iterations.</w:t>
      </w:r>
    </w:p>
    <w:p>
      <w:pPr>
        <w:ind w:firstLine="288"/>
        <w:jc w:val="both"/>
      </w:pPr>
      <w:r>
        <w:rPr>
          <w:rFonts w:ascii="Times New Roman" w:hAnsi="Times New Roman" w:eastAsia="Times New Roman"/>
          <w:b w:val="0"/>
          <w:sz w:val="20"/>
        </w:rPr>
        <w:t>Policy comparison across three hand test sets provides a stricter test of specialization. The final SPC-only, single-hand, and league-trained robot policies are evaluated against the SPC, a learned hand policy, and a mouse-controlled hand, as summarized in Table II. The mouse-controlled condition introduces human reaction time and voluntary pursuit strategy, so it is interpreted as a human-in-the-loop stress test rather than another automated opponent. Higher TIZ, ZPD coverage, and episode length are preferred, whereas lower catch rate is preferred.</w:t>
      </w:r>
    </w:p>
    <w:p>
      <w:pPr>
        <w:pStyle w:val="IEEECaption"/>
        <w:jc w:val="center"/>
      </w:pPr>
      <w:r>
        <w:rPr>
          <w:rFonts w:ascii="Times New Roman" w:hAnsi="Times New Roman" w:eastAsia="Times New Roman"/>
          <w:b/>
          <w:sz w:val="18"/>
        </w:rPr>
        <w:t>TABLE II: POLICY COMPARISON ACROSS THREE HAND TEST SETS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EDEDED"/>
          </w:tcPr>
          <w:p>
            <w:pPr>
              <w:jc w:val="center"/>
            </w:pPr>
            <w:r>
              <w:rPr>
                <w:rFonts w:ascii="Times New Roman" w:hAnsi="Times New Roman" w:eastAsia="Times New Roman"/>
                <w:b/>
                <w:sz w:val="17"/>
              </w:rPr>
              <w:t>Robot policy</w:t>
            </w:r>
          </w:p>
        </w:tc>
        <w:tc>
          <w:tcPr>
            <w:tcW w:type="dxa" w:w="1704"/>
            <w:vAlign w:val="center"/>
            <w:shd w:fill="EDEDED"/>
          </w:tcPr>
          <w:p>
            <w:pPr>
              <w:jc w:val="center"/>
            </w:pPr>
            <w:r>
              <w:rPr>
                <w:rFonts w:ascii="Times New Roman" w:hAnsi="Times New Roman" w:eastAsia="Times New Roman"/>
                <w:b/>
                <w:sz w:val="17"/>
              </w:rPr>
              <w:t>Test set</w:t>
            </w:r>
          </w:p>
        </w:tc>
        <w:tc>
          <w:tcPr>
            <w:tcW w:type="dxa" w:w="1704"/>
            <w:vAlign w:val="center"/>
            <w:shd w:fill="EDEDED"/>
          </w:tcPr>
          <w:p>
            <w:pPr>
              <w:jc w:val="center"/>
            </w:pPr>
            <w:r>
              <w:rPr>
                <w:rFonts w:ascii="Times New Roman" w:hAnsi="Times New Roman" w:eastAsia="Times New Roman"/>
                <w:b/>
                <w:sz w:val="17"/>
              </w:rPr>
              <w:t>TIZ</w:t>
            </w:r>
          </w:p>
        </w:tc>
        <w:tc>
          <w:tcPr>
            <w:tcW w:type="dxa" w:w="1704"/>
            <w:vAlign w:val="center"/>
            <w:shd w:fill="EDEDED"/>
          </w:tcPr>
          <w:p>
            <w:pPr>
              <w:jc w:val="center"/>
            </w:pPr>
            <w:r>
              <w:rPr>
                <w:rFonts w:ascii="Times New Roman" w:hAnsi="Times New Roman" w:eastAsia="Times New Roman"/>
                <w:b/>
                <w:sz w:val="17"/>
              </w:rPr>
              <w:t>ZPD coverage</w:t>
            </w:r>
          </w:p>
        </w:tc>
        <w:tc>
          <w:tcPr>
            <w:tcW w:type="dxa" w:w="1704"/>
            <w:vAlign w:val="center"/>
            <w:shd w:fill="EDEDED"/>
          </w:tcPr>
          <w:p>
            <w:pPr>
              <w:jc w:val="center"/>
            </w:pPr>
            <w:r>
              <w:rPr>
                <w:rFonts w:ascii="Times New Roman" w:hAnsi="Times New Roman" w:eastAsia="Times New Roman"/>
                <w:b/>
                <w:sz w:val="17"/>
              </w:rPr>
              <w:t>Length</w:t>
            </w:r>
          </w:p>
        </w:tc>
        <w:tc>
          <w:tcPr>
            <w:tcW w:type="dxa" w:w="1704"/>
            <w:vAlign w:val="center"/>
            <w:shd w:fill="EDEDED"/>
          </w:tcPr>
          <w:p>
            <w:pPr>
              <w:jc w:val="center"/>
            </w:pPr>
            <w:r>
              <w:rPr>
                <w:rFonts w:ascii="Times New Roman" w:hAnsi="Times New Roman" w:eastAsia="Times New Roman"/>
                <w:b/>
                <w:sz w:val="17"/>
              </w:rPr>
              <w:t>Catch rate</w:t>
            </w:r>
          </w:p>
        </w:tc>
      </w:tr>
      <w:tr>
        <w:tc>
          <w:tcPr>
            <w:tcW w:type="dxa" w:w="1704"/>
            <w:vAlign w:val="center"/>
          </w:tcPr>
          <w:p>
            <w:pPr>
              <w:jc w:val="center"/>
            </w:pPr>
            <w:r>
              <w:rPr>
                <w:rFonts w:ascii="Times New Roman" w:hAnsi="Times New Roman" w:eastAsia="Times New Roman"/>
                <w:b w:val="0"/>
                <w:sz w:val="17"/>
              </w:rPr>
              <w:t>SPC-only</w:t>
            </w:r>
          </w:p>
        </w:tc>
        <w:tc>
          <w:tcPr>
            <w:tcW w:type="dxa" w:w="1704"/>
            <w:vAlign w:val="center"/>
          </w:tcPr>
          <w:p>
            <w:pPr>
              <w:jc w:val="center"/>
            </w:pPr>
            <w:r>
              <w:rPr>
                <w:rFonts w:ascii="Times New Roman" w:hAnsi="Times New Roman" w:eastAsia="Times New Roman"/>
                <w:b w:val="0"/>
                <w:sz w:val="17"/>
              </w:rPr>
              <w:t>SPC</w:t>
            </w:r>
          </w:p>
        </w:tc>
        <w:tc>
          <w:tcPr>
            <w:tcW w:type="dxa" w:w="1704"/>
            <w:vAlign w:val="center"/>
          </w:tcPr>
          <w:p>
            <w:pPr>
              <w:jc w:val="center"/>
            </w:pPr>
            <w:r>
              <w:rPr>
                <w:rFonts w:ascii="Times New Roman" w:hAnsi="Times New Roman" w:eastAsia="Times New Roman"/>
                <w:b w:val="0"/>
                <w:sz w:val="17"/>
              </w:rPr>
              <w:t>0.31</w:t>
            </w:r>
          </w:p>
        </w:tc>
        <w:tc>
          <w:tcPr>
            <w:tcW w:type="dxa" w:w="1704"/>
            <w:vAlign w:val="center"/>
          </w:tcPr>
          <w:p>
            <w:pPr>
              <w:jc w:val="center"/>
            </w:pPr>
            <w:r>
              <w:rPr>
                <w:rFonts w:ascii="Times New Roman" w:hAnsi="Times New Roman" w:eastAsia="Times New Roman"/>
                <w:b w:val="0"/>
                <w:sz w:val="17"/>
              </w:rPr>
              <w:t>0.54</w:t>
            </w:r>
          </w:p>
        </w:tc>
        <w:tc>
          <w:tcPr>
            <w:tcW w:type="dxa" w:w="1704"/>
            <w:vAlign w:val="center"/>
          </w:tcPr>
          <w:p>
            <w:pPr>
              <w:jc w:val="center"/>
            </w:pPr>
            <w:r>
              <w:rPr>
                <w:rFonts w:ascii="Times New Roman" w:hAnsi="Times New Roman" w:eastAsia="Times New Roman"/>
                <w:b w:val="0"/>
                <w:sz w:val="17"/>
              </w:rPr>
              <w:t>52</w:t>
            </w:r>
          </w:p>
        </w:tc>
        <w:tc>
          <w:tcPr>
            <w:tcW w:type="dxa" w:w="1704"/>
            <w:vAlign w:val="center"/>
          </w:tcPr>
          <w:p>
            <w:pPr>
              <w:jc w:val="center"/>
            </w:pPr>
            <w:r>
              <w:rPr>
                <w:rFonts w:ascii="Times New Roman" w:hAnsi="Times New Roman" w:eastAsia="Times New Roman"/>
                <w:b w:val="0"/>
                <w:sz w:val="17"/>
              </w:rPr>
              <w:t>60%</w:t>
            </w:r>
          </w:p>
        </w:tc>
      </w:tr>
      <w:tr>
        <w:tc>
          <w:tcPr>
            <w:tcW w:type="dxa" w:w="1704"/>
            <w:vAlign w:val="center"/>
          </w:tcPr>
          <w:p>
            <w:pPr>
              <w:jc w:val="center"/>
            </w:pPr>
            <w:r>
              <w:rPr>
                <w:rFonts w:ascii="Times New Roman" w:hAnsi="Times New Roman" w:eastAsia="Times New Roman"/>
                <w:b w:val="0"/>
                <w:sz w:val="17"/>
              </w:rPr>
              <w:t>SPC-only</w:t>
            </w:r>
          </w:p>
        </w:tc>
        <w:tc>
          <w:tcPr>
            <w:tcW w:type="dxa" w:w="1704"/>
            <w:vAlign w:val="center"/>
          </w:tcPr>
          <w:p>
            <w:pPr>
              <w:jc w:val="center"/>
            </w:pPr>
            <w:r>
              <w:rPr>
                <w:rFonts w:ascii="Times New Roman" w:hAnsi="Times New Roman" w:eastAsia="Times New Roman"/>
                <w:b w:val="0"/>
                <w:sz w:val="17"/>
              </w:rPr>
              <w:t>Learned hand</w:t>
            </w:r>
          </w:p>
        </w:tc>
        <w:tc>
          <w:tcPr>
            <w:tcW w:type="dxa" w:w="1704"/>
            <w:vAlign w:val="center"/>
          </w:tcPr>
          <w:p>
            <w:pPr>
              <w:jc w:val="center"/>
            </w:pPr>
            <w:r>
              <w:rPr>
                <w:rFonts w:ascii="Times New Roman" w:hAnsi="Times New Roman" w:eastAsia="Times New Roman"/>
                <w:b w:val="0"/>
                <w:sz w:val="17"/>
              </w:rPr>
              <w:t>0.19</w:t>
            </w:r>
          </w:p>
        </w:tc>
        <w:tc>
          <w:tcPr>
            <w:tcW w:type="dxa" w:w="1704"/>
            <w:vAlign w:val="center"/>
          </w:tcPr>
          <w:p>
            <w:pPr>
              <w:jc w:val="center"/>
            </w:pPr>
            <w:r>
              <w:rPr>
                <w:rFonts w:ascii="Times New Roman" w:hAnsi="Times New Roman" w:eastAsia="Times New Roman"/>
                <w:b w:val="0"/>
                <w:sz w:val="17"/>
              </w:rPr>
              <w:t>0.54</w:t>
            </w:r>
          </w:p>
        </w:tc>
        <w:tc>
          <w:tcPr>
            <w:tcW w:type="dxa" w:w="1704"/>
            <w:vAlign w:val="center"/>
          </w:tcPr>
          <w:p>
            <w:pPr>
              <w:jc w:val="center"/>
            </w:pPr>
            <w:r>
              <w:rPr>
                <w:rFonts w:ascii="Times New Roman" w:hAnsi="Times New Roman" w:eastAsia="Times New Roman"/>
                <w:b w:val="0"/>
                <w:sz w:val="17"/>
              </w:rPr>
              <w:t>31</w:t>
            </w:r>
          </w:p>
        </w:tc>
        <w:tc>
          <w:tcPr>
            <w:tcW w:type="dxa" w:w="1704"/>
            <w:vAlign w:val="center"/>
          </w:tcPr>
          <w:p>
            <w:pPr>
              <w:jc w:val="center"/>
            </w:pPr>
            <w:r>
              <w:rPr>
                <w:rFonts w:ascii="Times New Roman" w:hAnsi="Times New Roman" w:eastAsia="Times New Roman"/>
                <w:b w:val="0"/>
                <w:sz w:val="17"/>
              </w:rPr>
              <w:t>90%</w:t>
            </w:r>
          </w:p>
        </w:tc>
      </w:tr>
      <w:tr>
        <w:tc>
          <w:tcPr>
            <w:tcW w:type="dxa" w:w="1704"/>
            <w:vAlign w:val="center"/>
          </w:tcPr>
          <w:p>
            <w:pPr>
              <w:jc w:val="center"/>
            </w:pPr>
            <w:r>
              <w:rPr>
                <w:rFonts w:ascii="Times New Roman" w:hAnsi="Times New Roman" w:eastAsia="Times New Roman"/>
                <w:b w:val="0"/>
                <w:sz w:val="17"/>
              </w:rPr>
              <w:t>SPC-only</w:t>
            </w:r>
          </w:p>
        </w:tc>
        <w:tc>
          <w:tcPr>
            <w:tcW w:type="dxa" w:w="1704"/>
            <w:vAlign w:val="center"/>
          </w:tcPr>
          <w:p>
            <w:pPr>
              <w:jc w:val="center"/>
            </w:pPr>
            <w:r>
              <w:rPr>
                <w:rFonts w:ascii="Times New Roman" w:hAnsi="Times New Roman" w:eastAsia="Times New Roman"/>
                <w:b w:val="0"/>
                <w:sz w:val="17"/>
              </w:rPr>
              <w:t>Mouse hand</w:t>
            </w:r>
          </w:p>
        </w:tc>
        <w:tc>
          <w:tcPr>
            <w:tcW w:type="dxa" w:w="1704"/>
            <w:vAlign w:val="center"/>
          </w:tcPr>
          <w:p>
            <w:pPr>
              <w:jc w:val="center"/>
            </w:pPr>
            <w:r>
              <w:rPr>
                <w:rFonts w:ascii="Times New Roman" w:hAnsi="Times New Roman" w:eastAsia="Times New Roman"/>
                <w:b w:val="0"/>
                <w:sz w:val="17"/>
              </w:rPr>
              <w:t>0.14</w:t>
            </w:r>
          </w:p>
        </w:tc>
        <w:tc>
          <w:tcPr>
            <w:tcW w:type="dxa" w:w="1704"/>
            <w:vAlign w:val="center"/>
          </w:tcPr>
          <w:p>
            <w:pPr>
              <w:jc w:val="center"/>
            </w:pPr>
            <w:r>
              <w:rPr>
                <w:rFonts w:ascii="Times New Roman" w:hAnsi="Times New Roman" w:eastAsia="Times New Roman"/>
                <w:b w:val="0"/>
                <w:sz w:val="17"/>
              </w:rPr>
              <w:t>0.50</w:t>
            </w:r>
          </w:p>
        </w:tc>
        <w:tc>
          <w:tcPr>
            <w:tcW w:type="dxa" w:w="1704"/>
            <w:vAlign w:val="center"/>
          </w:tcPr>
          <w:p>
            <w:pPr>
              <w:jc w:val="center"/>
            </w:pPr>
            <w:r>
              <w:rPr>
                <w:rFonts w:ascii="Times New Roman" w:hAnsi="Times New Roman" w:eastAsia="Times New Roman"/>
                <w:b w:val="0"/>
                <w:sz w:val="17"/>
              </w:rPr>
              <w:t>33</w:t>
            </w:r>
          </w:p>
        </w:tc>
        <w:tc>
          <w:tcPr>
            <w:tcW w:type="dxa" w:w="1704"/>
            <w:vAlign w:val="center"/>
          </w:tcPr>
          <w:p>
            <w:pPr>
              <w:jc w:val="center"/>
            </w:pPr>
            <w:r>
              <w:rPr>
                <w:rFonts w:ascii="Times New Roman" w:hAnsi="Times New Roman" w:eastAsia="Times New Roman"/>
                <w:b w:val="0"/>
                <w:sz w:val="17"/>
              </w:rPr>
              <w:t>100%</w:t>
            </w:r>
          </w:p>
        </w:tc>
      </w:tr>
      <w:tr>
        <w:tc>
          <w:tcPr>
            <w:tcW w:type="dxa" w:w="1704"/>
            <w:vAlign w:val="center"/>
          </w:tcPr>
          <w:p>
            <w:pPr>
              <w:jc w:val="center"/>
            </w:pPr>
            <w:r>
              <w:rPr>
                <w:rFonts w:ascii="Times New Roman" w:hAnsi="Times New Roman" w:eastAsia="Times New Roman"/>
                <w:b w:val="0"/>
                <w:sz w:val="17"/>
              </w:rPr>
              <w:t>Single-hand</w:t>
            </w:r>
          </w:p>
        </w:tc>
        <w:tc>
          <w:tcPr>
            <w:tcW w:type="dxa" w:w="1704"/>
            <w:vAlign w:val="center"/>
          </w:tcPr>
          <w:p>
            <w:pPr>
              <w:jc w:val="center"/>
            </w:pPr>
            <w:r>
              <w:rPr>
                <w:rFonts w:ascii="Times New Roman" w:hAnsi="Times New Roman" w:eastAsia="Times New Roman"/>
                <w:b w:val="0"/>
                <w:sz w:val="17"/>
              </w:rPr>
              <w:t>SPC</w:t>
            </w:r>
          </w:p>
        </w:tc>
        <w:tc>
          <w:tcPr>
            <w:tcW w:type="dxa" w:w="1704"/>
            <w:vAlign w:val="center"/>
          </w:tcPr>
          <w:p>
            <w:pPr>
              <w:jc w:val="center"/>
            </w:pPr>
            <w:r>
              <w:rPr>
                <w:rFonts w:ascii="Times New Roman" w:hAnsi="Times New Roman" w:eastAsia="Times New Roman"/>
                <w:b w:val="0"/>
                <w:sz w:val="17"/>
              </w:rPr>
              <w:t>0.11</w:t>
            </w:r>
          </w:p>
        </w:tc>
        <w:tc>
          <w:tcPr>
            <w:tcW w:type="dxa" w:w="1704"/>
            <w:vAlign w:val="center"/>
          </w:tcPr>
          <w:p>
            <w:pPr>
              <w:jc w:val="center"/>
            </w:pPr>
            <w:r>
              <w:rPr>
                <w:rFonts w:ascii="Times New Roman" w:hAnsi="Times New Roman" w:eastAsia="Times New Roman"/>
                <w:b w:val="0"/>
                <w:sz w:val="17"/>
              </w:rPr>
              <w:t>0.41</w:t>
            </w:r>
          </w:p>
        </w:tc>
        <w:tc>
          <w:tcPr>
            <w:tcW w:type="dxa" w:w="1704"/>
            <w:vAlign w:val="center"/>
          </w:tcPr>
          <w:p>
            <w:pPr>
              <w:jc w:val="center"/>
            </w:pPr>
            <w:r>
              <w:rPr>
                <w:rFonts w:ascii="Times New Roman" w:hAnsi="Times New Roman" w:eastAsia="Times New Roman"/>
                <w:b w:val="0"/>
                <w:sz w:val="17"/>
              </w:rPr>
              <w:t>25</w:t>
            </w:r>
          </w:p>
        </w:tc>
        <w:tc>
          <w:tcPr>
            <w:tcW w:type="dxa" w:w="1704"/>
            <w:vAlign w:val="center"/>
          </w:tcPr>
          <w:p>
            <w:pPr>
              <w:jc w:val="center"/>
            </w:pPr>
            <w:r>
              <w:rPr>
                <w:rFonts w:ascii="Times New Roman" w:hAnsi="Times New Roman" w:eastAsia="Times New Roman"/>
                <w:b w:val="0"/>
                <w:sz w:val="17"/>
              </w:rPr>
              <w:t>95%</w:t>
            </w:r>
          </w:p>
        </w:tc>
      </w:tr>
      <w:tr>
        <w:tc>
          <w:tcPr>
            <w:tcW w:type="dxa" w:w="1704"/>
            <w:vAlign w:val="center"/>
          </w:tcPr>
          <w:p>
            <w:pPr>
              <w:jc w:val="center"/>
            </w:pPr>
            <w:r>
              <w:rPr>
                <w:rFonts w:ascii="Times New Roman" w:hAnsi="Times New Roman" w:eastAsia="Times New Roman"/>
                <w:b w:val="0"/>
                <w:sz w:val="17"/>
              </w:rPr>
              <w:t>Single-hand</w:t>
            </w:r>
          </w:p>
        </w:tc>
        <w:tc>
          <w:tcPr>
            <w:tcW w:type="dxa" w:w="1704"/>
            <w:vAlign w:val="center"/>
          </w:tcPr>
          <w:p>
            <w:pPr>
              <w:jc w:val="center"/>
            </w:pPr>
            <w:r>
              <w:rPr>
                <w:rFonts w:ascii="Times New Roman" w:hAnsi="Times New Roman" w:eastAsia="Times New Roman"/>
                <w:b w:val="0"/>
                <w:sz w:val="17"/>
              </w:rPr>
              <w:t>Learned hand</w:t>
            </w:r>
          </w:p>
        </w:tc>
        <w:tc>
          <w:tcPr>
            <w:tcW w:type="dxa" w:w="1704"/>
            <w:vAlign w:val="center"/>
          </w:tcPr>
          <w:p>
            <w:pPr>
              <w:jc w:val="center"/>
            </w:pPr>
            <w:r>
              <w:rPr>
                <w:rFonts w:ascii="Times New Roman" w:hAnsi="Times New Roman" w:eastAsia="Times New Roman"/>
                <w:b w:val="0"/>
                <w:sz w:val="17"/>
              </w:rPr>
              <w:t>0.49</w:t>
            </w:r>
          </w:p>
        </w:tc>
        <w:tc>
          <w:tcPr>
            <w:tcW w:type="dxa" w:w="1704"/>
            <w:vAlign w:val="center"/>
          </w:tcPr>
          <w:p>
            <w:pPr>
              <w:jc w:val="center"/>
            </w:pPr>
            <w:r>
              <w:rPr>
                <w:rFonts w:ascii="Times New Roman" w:hAnsi="Times New Roman" w:eastAsia="Times New Roman"/>
                <w:b w:val="0"/>
                <w:sz w:val="17"/>
              </w:rPr>
              <w:t>0.60</w:t>
            </w:r>
          </w:p>
        </w:tc>
        <w:tc>
          <w:tcPr>
            <w:tcW w:type="dxa" w:w="1704"/>
            <w:vAlign w:val="center"/>
          </w:tcPr>
          <w:p>
            <w:pPr>
              <w:jc w:val="center"/>
            </w:pPr>
            <w:r>
              <w:rPr>
                <w:rFonts w:ascii="Times New Roman" w:hAnsi="Times New Roman" w:eastAsia="Times New Roman"/>
                <w:b w:val="0"/>
                <w:sz w:val="17"/>
              </w:rPr>
              <w:t>70</w:t>
            </w:r>
          </w:p>
        </w:tc>
        <w:tc>
          <w:tcPr>
            <w:tcW w:type="dxa" w:w="1704"/>
            <w:vAlign w:val="center"/>
          </w:tcPr>
          <w:p>
            <w:pPr>
              <w:jc w:val="center"/>
            </w:pPr>
            <w:r>
              <w:rPr>
                <w:rFonts w:ascii="Times New Roman" w:hAnsi="Times New Roman" w:eastAsia="Times New Roman"/>
                <w:b w:val="0"/>
                <w:sz w:val="17"/>
              </w:rPr>
              <w:t>38%</w:t>
            </w:r>
          </w:p>
        </w:tc>
      </w:tr>
      <w:tr>
        <w:tc>
          <w:tcPr>
            <w:tcW w:type="dxa" w:w="1704"/>
            <w:vAlign w:val="center"/>
          </w:tcPr>
          <w:p>
            <w:pPr>
              <w:jc w:val="center"/>
            </w:pPr>
            <w:r>
              <w:rPr>
                <w:rFonts w:ascii="Times New Roman" w:hAnsi="Times New Roman" w:eastAsia="Times New Roman"/>
                <w:b w:val="0"/>
                <w:sz w:val="17"/>
              </w:rPr>
              <w:t>Single-hand</w:t>
            </w:r>
          </w:p>
        </w:tc>
        <w:tc>
          <w:tcPr>
            <w:tcW w:type="dxa" w:w="1704"/>
            <w:vAlign w:val="center"/>
          </w:tcPr>
          <w:p>
            <w:pPr>
              <w:jc w:val="center"/>
            </w:pPr>
            <w:r>
              <w:rPr>
                <w:rFonts w:ascii="Times New Roman" w:hAnsi="Times New Roman" w:eastAsia="Times New Roman"/>
                <w:b w:val="0"/>
                <w:sz w:val="17"/>
              </w:rPr>
              <w:t>Mouse hand</w:t>
            </w:r>
          </w:p>
        </w:tc>
        <w:tc>
          <w:tcPr>
            <w:tcW w:type="dxa" w:w="1704"/>
            <w:vAlign w:val="center"/>
          </w:tcPr>
          <w:p>
            <w:pPr>
              <w:jc w:val="center"/>
            </w:pPr>
            <w:r>
              <w:rPr>
                <w:rFonts w:ascii="Times New Roman" w:hAnsi="Times New Roman" w:eastAsia="Times New Roman"/>
                <w:b w:val="0"/>
                <w:sz w:val="17"/>
              </w:rPr>
              <w:t>0.19</w:t>
            </w:r>
          </w:p>
        </w:tc>
        <w:tc>
          <w:tcPr>
            <w:tcW w:type="dxa" w:w="1704"/>
            <w:vAlign w:val="center"/>
          </w:tcPr>
          <w:p>
            <w:pPr>
              <w:jc w:val="center"/>
            </w:pPr>
            <w:r>
              <w:rPr>
                <w:rFonts w:ascii="Times New Roman" w:hAnsi="Times New Roman" w:eastAsia="Times New Roman"/>
                <w:b w:val="0"/>
                <w:sz w:val="17"/>
              </w:rPr>
              <w:t>0.48</w:t>
            </w:r>
          </w:p>
        </w:tc>
        <w:tc>
          <w:tcPr>
            <w:tcW w:type="dxa" w:w="1704"/>
            <w:vAlign w:val="center"/>
          </w:tcPr>
          <w:p>
            <w:pPr>
              <w:jc w:val="center"/>
            </w:pPr>
            <w:r>
              <w:rPr>
                <w:rFonts w:ascii="Times New Roman" w:hAnsi="Times New Roman" w:eastAsia="Times New Roman"/>
                <w:b w:val="0"/>
                <w:sz w:val="17"/>
              </w:rPr>
              <w:t>40</w:t>
            </w:r>
          </w:p>
        </w:tc>
        <w:tc>
          <w:tcPr>
            <w:tcW w:type="dxa" w:w="1704"/>
            <w:vAlign w:val="center"/>
          </w:tcPr>
          <w:p>
            <w:pPr>
              <w:jc w:val="center"/>
            </w:pPr>
            <w:r>
              <w:rPr>
                <w:rFonts w:ascii="Times New Roman" w:hAnsi="Times New Roman" w:eastAsia="Times New Roman"/>
                <w:b w:val="0"/>
                <w:sz w:val="17"/>
              </w:rPr>
              <w:t>95%</w:t>
            </w:r>
          </w:p>
        </w:tc>
      </w:tr>
      <w:tr>
        <w:tc>
          <w:tcPr>
            <w:tcW w:type="dxa" w:w="1704"/>
            <w:vAlign w:val="center"/>
          </w:tcPr>
          <w:p>
            <w:pPr>
              <w:jc w:val="center"/>
            </w:pPr>
            <w:r>
              <w:rPr>
                <w:rFonts w:ascii="Times New Roman" w:hAnsi="Times New Roman" w:eastAsia="Times New Roman"/>
                <w:b w:val="0"/>
                <w:sz w:val="17"/>
              </w:rPr>
              <w:t>League</w:t>
            </w:r>
          </w:p>
        </w:tc>
        <w:tc>
          <w:tcPr>
            <w:tcW w:type="dxa" w:w="1704"/>
            <w:vAlign w:val="center"/>
          </w:tcPr>
          <w:p>
            <w:pPr>
              <w:jc w:val="center"/>
            </w:pPr>
            <w:r>
              <w:rPr>
                <w:rFonts w:ascii="Times New Roman" w:hAnsi="Times New Roman" w:eastAsia="Times New Roman"/>
                <w:b w:val="0"/>
                <w:sz w:val="17"/>
              </w:rPr>
              <w:t>SPC</w:t>
            </w:r>
          </w:p>
        </w:tc>
        <w:tc>
          <w:tcPr>
            <w:tcW w:type="dxa" w:w="1704"/>
            <w:vAlign w:val="center"/>
          </w:tcPr>
          <w:p>
            <w:pPr>
              <w:jc w:val="center"/>
            </w:pPr>
            <w:r>
              <w:rPr>
                <w:rFonts w:ascii="Times New Roman" w:hAnsi="Times New Roman" w:eastAsia="Times New Roman"/>
                <w:b w:val="0"/>
                <w:sz w:val="17"/>
              </w:rPr>
              <w:t>0.38</w:t>
            </w:r>
          </w:p>
        </w:tc>
        <w:tc>
          <w:tcPr>
            <w:tcW w:type="dxa" w:w="1704"/>
            <w:vAlign w:val="center"/>
          </w:tcPr>
          <w:p>
            <w:pPr>
              <w:jc w:val="center"/>
            </w:pPr>
            <w:r>
              <w:rPr>
                <w:rFonts w:ascii="Times New Roman" w:hAnsi="Times New Roman" w:eastAsia="Times New Roman"/>
                <w:b w:val="0"/>
                <w:sz w:val="17"/>
              </w:rPr>
              <w:t>0.55</w:t>
            </w:r>
          </w:p>
        </w:tc>
        <w:tc>
          <w:tcPr>
            <w:tcW w:type="dxa" w:w="1704"/>
            <w:vAlign w:val="center"/>
          </w:tcPr>
          <w:p>
            <w:pPr>
              <w:jc w:val="center"/>
            </w:pPr>
            <w:r>
              <w:rPr>
                <w:rFonts w:ascii="Times New Roman" w:hAnsi="Times New Roman" w:eastAsia="Times New Roman"/>
                <w:b w:val="0"/>
                <w:sz w:val="17"/>
              </w:rPr>
              <w:t>67</w:t>
            </w:r>
          </w:p>
        </w:tc>
        <w:tc>
          <w:tcPr>
            <w:tcW w:type="dxa" w:w="1704"/>
            <w:vAlign w:val="center"/>
          </w:tcPr>
          <w:p>
            <w:pPr>
              <w:jc w:val="center"/>
            </w:pPr>
            <w:r>
              <w:rPr>
                <w:rFonts w:ascii="Times New Roman" w:hAnsi="Times New Roman" w:eastAsia="Times New Roman"/>
                <w:b w:val="0"/>
                <w:sz w:val="17"/>
              </w:rPr>
              <w:t>43%</w:t>
            </w:r>
          </w:p>
        </w:tc>
      </w:tr>
      <w:tr>
        <w:tc>
          <w:tcPr>
            <w:tcW w:type="dxa" w:w="1704"/>
            <w:vAlign w:val="center"/>
          </w:tcPr>
          <w:p>
            <w:pPr>
              <w:jc w:val="center"/>
            </w:pPr>
            <w:r>
              <w:rPr>
                <w:rFonts w:ascii="Times New Roman" w:hAnsi="Times New Roman" w:eastAsia="Times New Roman"/>
                <w:b w:val="0"/>
                <w:sz w:val="17"/>
              </w:rPr>
              <w:t>League</w:t>
            </w:r>
          </w:p>
        </w:tc>
        <w:tc>
          <w:tcPr>
            <w:tcW w:type="dxa" w:w="1704"/>
            <w:vAlign w:val="center"/>
          </w:tcPr>
          <w:p>
            <w:pPr>
              <w:jc w:val="center"/>
            </w:pPr>
            <w:r>
              <w:rPr>
                <w:rFonts w:ascii="Times New Roman" w:hAnsi="Times New Roman" w:eastAsia="Times New Roman"/>
                <w:b w:val="0"/>
                <w:sz w:val="17"/>
              </w:rPr>
              <w:t>Learned hand</w:t>
            </w:r>
          </w:p>
        </w:tc>
        <w:tc>
          <w:tcPr>
            <w:tcW w:type="dxa" w:w="1704"/>
            <w:vAlign w:val="center"/>
          </w:tcPr>
          <w:p>
            <w:pPr>
              <w:jc w:val="center"/>
            </w:pPr>
            <w:r>
              <w:rPr>
                <w:rFonts w:ascii="Times New Roman" w:hAnsi="Times New Roman" w:eastAsia="Times New Roman"/>
                <w:b w:val="0"/>
                <w:sz w:val="17"/>
              </w:rPr>
              <w:t>0.48</w:t>
            </w:r>
          </w:p>
        </w:tc>
        <w:tc>
          <w:tcPr>
            <w:tcW w:type="dxa" w:w="1704"/>
            <w:vAlign w:val="center"/>
          </w:tcPr>
          <w:p>
            <w:pPr>
              <w:jc w:val="center"/>
            </w:pPr>
            <w:r>
              <w:rPr>
                <w:rFonts w:ascii="Times New Roman" w:hAnsi="Times New Roman" w:eastAsia="Times New Roman"/>
                <w:b w:val="0"/>
                <w:sz w:val="17"/>
              </w:rPr>
              <w:t>0.65</w:t>
            </w:r>
          </w:p>
        </w:tc>
        <w:tc>
          <w:tcPr>
            <w:tcW w:type="dxa" w:w="1704"/>
            <w:vAlign w:val="center"/>
          </w:tcPr>
          <w:p>
            <w:pPr>
              <w:jc w:val="center"/>
            </w:pPr>
            <w:r>
              <w:rPr>
                <w:rFonts w:ascii="Times New Roman" w:hAnsi="Times New Roman" w:eastAsia="Times New Roman"/>
                <w:b w:val="0"/>
                <w:sz w:val="17"/>
              </w:rPr>
              <w:t>64</w:t>
            </w:r>
          </w:p>
        </w:tc>
        <w:tc>
          <w:tcPr>
            <w:tcW w:type="dxa" w:w="1704"/>
            <w:vAlign w:val="center"/>
          </w:tcPr>
          <w:p>
            <w:pPr>
              <w:jc w:val="center"/>
            </w:pPr>
            <w:r>
              <w:rPr>
                <w:rFonts w:ascii="Times New Roman" w:hAnsi="Times New Roman" w:eastAsia="Times New Roman"/>
                <w:b w:val="0"/>
                <w:sz w:val="17"/>
              </w:rPr>
              <w:t>48%</w:t>
            </w:r>
          </w:p>
        </w:tc>
      </w:tr>
      <w:tr>
        <w:tc>
          <w:tcPr>
            <w:tcW w:type="dxa" w:w="1704"/>
            <w:vAlign w:val="center"/>
          </w:tcPr>
          <w:p>
            <w:pPr>
              <w:jc w:val="center"/>
            </w:pPr>
            <w:r>
              <w:rPr>
                <w:rFonts w:ascii="Times New Roman" w:hAnsi="Times New Roman" w:eastAsia="Times New Roman"/>
                <w:b w:val="0"/>
                <w:sz w:val="17"/>
              </w:rPr>
              <w:t>League</w:t>
            </w:r>
          </w:p>
        </w:tc>
        <w:tc>
          <w:tcPr>
            <w:tcW w:type="dxa" w:w="1704"/>
            <w:vAlign w:val="center"/>
          </w:tcPr>
          <w:p>
            <w:pPr>
              <w:jc w:val="center"/>
            </w:pPr>
            <w:r>
              <w:rPr>
                <w:rFonts w:ascii="Times New Roman" w:hAnsi="Times New Roman" w:eastAsia="Times New Roman"/>
                <w:b w:val="0"/>
                <w:sz w:val="17"/>
              </w:rPr>
              <w:t>Mouse hand</w:t>
            </w:r>
          </w:p>
        </w:tc>
        <w:tc>
          <w:tcPr>
            <w:tcW w:type="dxa" w:w="1704"/>
            <w:vAlign w:val="center"/>
          </w:tcPr>
          <w:p>
            <w:pPr>
              <w:jc w:val="center"/>
            </w:pPr>
            <w:r>
              <w:rPr>
                <w:rFonts w:ascii="Times New Roman" w:hAnsi="Times New Roman" w:eastAsia="Times New Roman"/>
                <w:b w:val="0"/>
                <w:sz w:val="17"/>
              </w:rPr>
              <w:t>0.49</w:t>
            </w:r>
          </w:p>
        </w:tc>
        <w:tc>
          <w:tcPr>
            <w:tcW w:type="dxa" w:w="1704"/>
            <w:vAlign w:val="center"/>
          </w:tcPr>
          <w:p>
            <w:pPr>
              <w:jc w:val="center"/>
            </w:pPr>
            <w:r>
              <w:rPr>
                <w:rFonts w:ascii="Times New Roman" w:hAnsi="Times New Roman" w:eastAsia="Times New Roman"/>
                <w:b w:val="0"/>
                <w:sz w:val="17"/>
              </w:rPr>
              <w:t>0.66</w:t>
            </w:r>
          </w:p>
        </w:tc>
        <w:tc>
          <w:tcPr>
            <w:tcW w:type="dxa" w:w="1704"/>
            <w:vAlign w:val="center"/>
          </w:tcPr>
          <w:p>
            <w:pPr>
              <w:jc w:val="center"/>
            </w:pPr>
            <w:r>
              <w:rPr>
                <w:rFonts w:ascii="Times New Roman" w:hAnsi="Times New Roman" w:eastAsia="Times New Roman"/>
                <w:b w:val="0"/>
                <w:sz w:val="17"/>
              </w:rPr>
              <w:t>74</w:t>
            </w:r>
          </w:p>
        </w:tc>
        <w:tc>
          <w:tcPr>
            <w:tcW w:type="dxa" w:w="1704"/>
            <w:vAlign w:val="center"/>
          </w:tcPr>
          <w:p>
            <w:pPr>
              <w:jc w:val="center"/>
            </w:pPr>
            <w:r>
              <w:rPr>
                <w:rFonts w:ascii="Times New Roman" w:hAnsi="Times New Roman" w:eastAsia="Times New Roman"/>
                <w:b w:val="0"/>
                <w:sz w:val="17"/>
              </w:rPr>
              <w:t>60%</w:t>
            </w:r>
          </w:p>
        </w:tc>
      </w:tr>
    </w:tbl>
    <w:p>
      <w:pPr>
        <w:ind w:firstLine="288"/>
        <w:jc w:val="both"/>
      </w:pPr>
      <w:r>
        <w:rPr>
          <w:rFonts w:ascii="Times New Roman" w:hAnsi="Times New Roman" w:eastAsia="Times New Roman"/>
          <w:b w:val="0"/>
          <w:sz w:val="20"/>
        </w:rPr>
        <w:t>Training against a narrow hand model leads to complementary failure modes across the three test sets. The SPC-only robot remains competitive on the scripted pursuit controller but produces short, low-TIZ interactions against the learned and mouse-controlled hands. The single-hand robot shows the opposite pattern. It performs well against the learned hand policy but degrades sharply against the SPC and mouse-controlled hands, indicating specialization to one pursuit style.</w:t>
      </w:r>
    </w:p>
    <w:p>
      <w:pPr>
        <w:ind w:firstLine="288"/>
        <w:jc w:val="both"/>
      </w:pPr>
      <w:r>
        <w:rPr>
          <w:rFonts w:ascii="Times New Roman" w:hAnsi="Times New Roman" w:eastAsia="Times New Roman"/>
          <w:b w:val="0"/>
          <w:sz w:val="20"/>
        </w:rPr>
        <w:t>The league-trained robot avoids this cross-condition collapse. It achieves the highest TIZ and longest episodes on the SPC and mouse-controlled tests, while remaining comparable to the single-hand robot on the learned-hand test. The mouse-controlled result is especially informative because it introduces human reaction time and voluntary pursuit strategy. For adaptive difficulty regulation, this balanced profile is more important than optimizing a single test condition, because user behavior can shift across controllers, sessions, and voluntary strategies.</w:t>
      </w:r>
    </w:p>
    <w:p>
      <w:pPr>
        <w:pStyle w:val="Heading2"/>
      </w:pPr>
      <w:r>
        <w:t>C. Network Ablation and Auxiliary Dynamics Analysis</w:t>
      </w:r>
    </w:p>
    <w:p>
      <w:pPr>
        <w:ind w:firstLine="288"/>
        <w:jc w:val="both"/>
      </w:pPr>
      <w:r>
        <w:rPr>
          <w:rFonts w:ascii="Times New Roman" w:hAnsi="Times New Roman" w:eastAsia="Times New Roman"/>
          <w:b w:val="0"/>
          <w:sz w:val="20"/>
        </w:rPr>
        <w:t>Opponent diversity alone does not determine whether the robot can use the information available in each observation. The ablation study asks whether the robot can regulate difficulty from the current geometric state alone, or whether it needs recent hand-motion history. The MLP baseline observes the current geometric state but does not explicitly encode recent interaction history. The GRU policy processes the 16-frame relative-displacement buffer, allowing it to infer hand velocity, response delay, and pursuit tendency. The auxiliary GRU policy further adds the future-dynamics prediction head described in Section III.B.</w:t>
      </w:r>
    </w:p>
    <w:p>
      <w:pPr>
        <w:ind w:firstLine="288"/>
        <w:jc w:val="both"/>
      </w:pPr>
      <w:r>
        <w:rPr>
          <w:rFonts w:ascii="Times New Roman" w:hAnsi="Times New Roman" w:eastAsia="Times New Roman"/>
          <w:b w:val="0"/>
          <w:sz w:val="20"/>
        </w:rPr>
        <w:t>Fig. 4 shows that temporal interaction history improves the robot policy beyond the MLP baseline, and that auxiliary future-dynamics supervision further improves the final task-quality profile. In the training curves, both recurrent policies achieve longer and more stable interactions than the MLP policy, indicating that recent hand-motion history is useful for regulating difficulty. The auxiliary GRU follows a similar training trend to the GRU policy, but its final evaluation is stronger in the task-quality summary: it achieves higher TIZ, broader workspace coverage, and lower jerk relative to the MLP baseline.</w:t>
      </w:r>
    </w:p>
    <w:p>
      <w:pPr>
        <w:ind w:firstLine="288"/>
        <w:jc w:val="both"/>
      </w:pPr>
      <w:r>
        <w:rPr>
          <w:rFonts w:ascii="Times New Roman" w:hAnsi="Times New Roman" w:eastAsia="Times New Roman"/>
          <w:b w:val="0"/>
          <w:sz w:val="20"/>
        </w:rPr>
        <w:t>The auxiliary prediction examples provide a complementary diagnostic of why this improvement is plausible. The future-dynamics head learns to predict short-horizon hand displacement from the recurrent representation, so the temporal encoder is trained not only through sparse policy gradients but also through a supervised motion-prediction signal. This additional signal encourages the representation to encode pursuit direction, inertia, and short-term changes in hand motion. The result is not merely an interpretable auxiliary output; it also contributes to the final control behavior summarized in Fig. 4(d).</w:t>
      </w:r>
    </w:p>
    <w:p>
      <w:pPr>
        <w:jc w:val="center"/>
      </w:pPr>
      <w:r>
        <w:drawing>
          <wp:inline xmlns:a="http://schemas.openxmlformats.org/drawingml/2006/main" xmlns:pic="http://schemas.openxmlformats.org/drawingml/2006/picture">
            <wp:extent cx="6035040" cy="4266555"/>
            <wp:docPr id="4" name="Picture 4"/>
            <wp:cNvGraphicFramePr>
              <a:graphicFrameLocks noChangeAspect="1"/>
            </wp:cNvGraphicFramePr>
            <a:graphic>
              <a:graphicData uri="http://schemas.openxmlformats.org/drawingml/2006/picture">
                <pic:pic>
                  <pic:nvPicPr>
                    <pic:cNvPr id="0" name="fig_sim02_ablation_gru_aux_composite_filled_no_title.png"/>
                    <pic:cNvPicPr/>
                  </pic:nvPicPr>
                  <pic:blipFill>
                    <a:blip r:embed="rId12"/>
                    <a:stretch>
                      <a:fillRect/>
                    </a:stretch>
                  </pic:blipFill>
                  <pic:spPr>
                    <a:xfrm>
                      <a:off x="0" y="0"/>
                      <a:ext cx="6035040" cy="4266555"/>
                    </a:xfrm>
                    <a:prstGeom prst="rect"/>
                  </pic:spPr>
                </pic:pic>
              </a:graphicData>
            </a:graphic>
          </wp:inline>
        </w:drawing>
      </w:r>
    </w:p>
    <w:p>
      <w:pPr>
        <w:pStyle w:val="IEEECaption"/>
        <w:jc w:val="both"/>
      </w:pPr>
      <w:r>
        <w:t>Fig. 4. GRU ablation and auxiliary future-motion prediction. Panels (a) and (b) show smoothed training reward and episode length for the MLP policy, the GRU policy, and the auxiliary GRU policy trained against the mixed learned-hand and SPC pool. Panel (c) visualizes representative auxiliary future-prediction examples. Panel (d) summarizes final task-quality metrics normalized to the MLP baseline.</w:t>
      </w:r>
    </w:p>
    <w:p>
      <w:pPr>
        <w:pStyle w:val="Heading2"/>
      </w:pPr>
      <w:r>
        <w:t>D. Real-Time Physical Deployment</w:t>
      </w:r>
    </w:p>
    <w:p>
      <w:pPr>
        <w:ind w:firstLine="288"/>
        <w:jc w:val="both"/>
      </w:pPr>
      <w:r>
        <w:rPr>
          <w:rFonts w:ascii="Times New Roman" w:hAnsi="Times New Roman" w:eastAsia="Times New Roman"/>
          <w:b w:val="0"/>
          <w:sz w:val="20"/>
        </w:rPr>
        <w:t>The simulation-trained policy was deployed on the UR10 magnetic microrobot platform to evaluate zero-shot physical execution under real hand input. A healthy pilot pursued the microrobot on the acrylic workspace while the UR10 drove the magnetic actuator below the surface. The policy was transferred without physical fine-tuning. The physical data comprise nine zero-shot rollouts from the same pilot session. Across these rollouts, the camera stream was requested at 2592 x 1944 resolution and processed at 12.1 Hz on average, the UR10 command loop averaged 17.9 Hz, and PPO inference required 2.24 ms on average. The mean image-to-control age recorded in the control loop was 26.8 ms, with a 95th percentile of 63.3 ms. The physical rollouts lasted 14.9-41.6 s, with a mean duration of 28.4 s.</w:t>
      </w:r>
    </w:p>
    <w:p>
      <w:pPr>
        <w:ind w:firstLine="288"/>
        <w:jc w:val="both"/>
      </w:pPr>
      <w:r>
        <w:rPr>
          <w:rFonts w:ascii="Times New Roman" w:hAnsi="Times New Roman" w:eastAsia="Times New Roman"/>
          <w:b w:val="0"/>
          <w:sz w:val="20"/>
        </w:rPr>
        <w:t>The implementation preserves the simulation observation layout without adding UR10 telemetry or end-effector pose to the learned-policy input. At each control step, the observation was constructed from calibrated camera measurements of the hand and microrobot, workspace-boundary features, the previous executed robot command, and recent relative hand-displacement history, matching the categories in (6) and (7). The deployment controller used RTDE pose readback only to execute and monitor Cartesian target commands over Ethernet, not as an additional policy observation.</w:t>
      </w:r>
    </w:p>
    <w:p>
      <w:pPr>
        <w:ind w:firstLine="288"/>
        <w:jc w:val="both"/>
      </w:pPr>
      <w:r>
        <w:rPr>
          <w:rFonts w:ascii="Times New Roman" w:hAnsi="Times New Roman" w:eastAsia="Times New Roman"/>
          <w:b w:val="0"/>
          <w:sz w:val="20"/>
        </w:rPr>
        <w:t>Tracking and calibration were handled by the camera-based perception stack. The microrobot was detected with the trained YOLO model, the hand was detected with MediaPipe-based hand tracking, and a homography calibration mapped image coordinates into the 15 x 10 cm workspace. When a new hand detection was not available, the controller used low-pass dead-reckoning from the last measured hand velocity until the next camera update. Safety constraints included workspace clipping of commanded targets, a maximum commanded target step of 0.6 cm, automatic stop-on-catch at a 1.5 cm distance threshold, UR10 servoStop on shutdown or interruption, and the standard hardware emergency stop available during testing.</w:t>
      </w:r>
    </w:p>
    <w:p>
      <w:pPr>
        <w:ind w:firstLine="288"/>
        <w:jc w:val="both"/>
      </w:pPr>
      <w:r>
        <w:rPr>
          <w:rFonts w:ascii="Times New Roman" w:hAnsi="Times New Roman" w:eastAsia="Times New Roman"/>
          <w:b w:val="0"/>
          <w:sz w:val="20"/>
        </w:rPr>
        <w:t>Fig. 5 presents one representative zero-shot physical rollout among the nine physical trials. The image sequence in Fig. 5(a) shows the hand and microrobot at selected moments of the same trial. These frames are not independent snapshots; they are time-aligned with the dynamic traces in Fig. 5(b). The selected events cover the beginning of the interaction, a steady pursuit phase, a faster hand movement phase, a slower movement phase, and the end of the rollout. Together, the frames provide direct visual evidence that the policy was executed on the physical platform and that the hand, microrobot, camera perception, and UR10 actuation were coupled in a closed loop.</w:t>
      </w:r>
    </w:p>
    <w:p>
      <w:pPr>
        <w:ind w:firstLine="288"/>
        <w:jc w:val="both"/>
      </w:pPr>
      <w:r>
        <w:rPr>
          <w:rFonts w:ascii="Times New Roman" w:hAnsi="Times New Roman" w:eastAsia="Times New Roman"/>
          <w:b w:val="0"/>
          <w:sz w:val="20"/>
        </w:rPr>
        <w:t>The quantitative traces in Fig. 5(b) show how the interaction evolved during the same physical rollout. The smoothed hand-microrobot distance remains near the target ZPD band for a substantial portion of the trial and repeatedly returns toward this range after deviations. This pattern matches the intended difficulty-regulation objective: the microrobot does not simply move away from the hand indefinitely, nor does it remain static until being caught. Instead, the physical interaction alternates between periods in which the hand closes the distance and periods in which the robot response increases the separation.</w:t>
      </w:r>
    </w:p>
    <w:p>
      <w:pPr>
        <w:ind w:firstLine="288"/>
        <w:jc w:val="both"/>
      </w:pPr>
      <w:r>
        <w:rPr>
          <w:rFonts w:ascii="Times New Roman" w:hAnsi="Times New Roman" w:eastAsia="Times New Roman"/>
          <w:b w:val="0"/>
          <w:sz w:val="20"/>
        </w:rPr>
        <w:t>The speed profiles provide additional evidence that the measured distance changes are tied to real pursuit dynamics. The hand-speed trace identifies periods of steady motion, acceleration, and deceleration by the pilot, while the robot-speed trace reports the realized motion of the magnetic actuation system. The relative timing of these curves shows that changes in human pursuit speed are reflected in the physical interaction and in the robot response during the same rollout. Thus, the deployment result verifies more than offline policy inference: it shows that the simulation-trained controller can sustain an online hand-microrobot interaction on the UR10 platform using real camera feedback.</w:t>
      </w:r>
    </w:p>
    <w:p>
      <w:pPr>
        <w:jc w:val="center"/>
      </w:pPr>
      <w:r>
        <w:drawing>
          <wp:inline xmlns:a="http://schemas.openxmlformats.org/drawingml/2006/main" xmlns:pic="http://schemas.openxmlformats.org/drawingml/2006/picture">
            <wp:extent cx="6035040" cy="3422940"/>
            <wp:docPr id="5" name="Picture 5"/>
            <wp:cNvGraphicFramePr>
              <a:graphicFrameLocks noChangeAspect="1"/>
            </wp:cNvGraphicFramePr>
            <a:graphic>
              <a:graphicData uri="http://schemas.openxmlformats.org/drawingml/2006/picture">
                <pic:pic>
                  <pic:nvPicPr>
                    <pic:cNvPr id="0" name="fig_physical_deployment.png"/>
                    <pic:cNvPicPr/>
                  </pic:nvPicPr>
                  <pic:blipFill>
                    <a:blip r:embed="rId13"/>
                    <a:stretch>
                      <a:fillRect/>
                    </a:stretch>
                  </pic:blipFill>
                  <pic:spPr>
                    <a:xfrm>
                      <a:off x="0" y="0"/>
                      <a:ext cx="6035040" cy="3422940"/>
                    </a:xfrm>
                    <a:prstGeom prst="rect"/>
                  </pic:spPr>
                </pic:pic>
              </a:graphicData>
            </a:graphic>
          </wp:inline>
        </w:drawing>
      </w:r>
    </w:p>
    <w:p>
      <w:pPr>
        <w:pStyle w:val="IEEECaption"/>
        <w:jc w:val="both"/>
      </w:pPr>
      <w:r>
        <w:t>Fig. 5. Zero-shot physical deployment on the UR10 magnetic microrobot platform. (a) Key deployment frames from a representative rollout among nine physical trials. (b) Smoothed hand-microrobot distance, target ZPD band, and measured hand and robot speeds from the same rollout.</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hAnsi="Times New Roman" w:eastAsia="Times New Roman"/>
      <w:sz w:val="18"/>
    </w:rPr>
  </w:style>
  <w:style w:type="paragraph" w:customStyle="1" w:styleId="DisplayEquation">
    <w:name w:val="Display Equation"/>
    <w:rPr>
      <w:rFonts w:ascii="Cambria Math" w:hAnsi="Cambria Math" w:eastAsia="Cambria Math"/>
      <w:sz w:val="20"/>
    </w:rPr>
  </w:style>
  <w:style w:type="paragraph" w:customStyle="1" w:styleId="AlgorithmText">
    <w:name w:val="Algorithm Text"/>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