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`methodology_ieee_v2.35_spc_compact_direction.md`. This version clarifies reward-term notation, explains the PFSP episode-length priority signal, replaces compact uniform-distribution notation in prose with words, and states the workspace-unit to centimeter mapping.</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We formulate the control problem as a reinforcement learning (RL) task in which the robot regulates interaction difficulty through the motion of the magnetic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magnetic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acts as the pursuer, and the magnetic microrobot acts as a moving target driven by the robot arm beneath the acrylic surface. The participant attempts to approach and catch the microrobot, while the robot controls the microrobot motion to keep the task challenging but still reachable. This differs from static reaching because the target does not remain fixed after a movement is planned. The participant must continuously track, anticipate, and correct hand motion, making the task a sustained visuomotor exercise rather than an isolated point-to-point reach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In (1), r_dist(d_t) is the distance-regulation term, which rewards separations inside the ZPD band and penalizes distances that are too close or too far. The term r_smooth(a_t) is the action-smoothness term, which discourages abrupt robot motion. The term r_bound(p_R,t) is the workspace-boundary term, which penalizes the microrobot for leaving the valid workspace. The term r_catch(d_t) is the catch-avoidance term, which penalizes episodes in which the hand reaches the microrobot. Episodes terminate when the microrobot is caught, leaves the valid workspace, or reaches the maximum horizon.</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(CMD-DR) broadens the simulated user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Users can differ both in how they choose to move and in how accurately they execute those movements, making it difficult for a single model to capture all variations. CMD-DR separates these two sources of variability by generating intended hand motion first and then applying motor-execution constraints, observation noise, and temporal delay. At the strategy level, a hand policy sampled from the opponent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The SPC samples a stride rho_ep once per episode and uses it for the whole episode. At each timestep, it chooses a unit direction q_t and moves one stride along that direction:</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With probability 1-epsilon, q_t points from the current hand position toward the microrobot. With probability epsilon, q_t is a random unit direction. In our experiments, rho_ep is sampled uniformly between 0.45 and 0.70, and epsilon = 0.05. The learned hand policies replace (2) with their policy outputs, but the resulting intended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α ∈ (0,1)</m:t>
          </m:r>
          <m:r>
            <m:t xml:space="preserve">    (3)</m:t>
          </m:r>
        </m:oMath>
      </m:oMathPara>
    </w:p>
    <w:p>
      <w:pPr>
        <w:ind w:firstLine="288"/>
        <w:jc w:val="both"/>
      </w:pPr>
      <w:r>
        <w:rPr>
          <w:rFonts w:ascii="Times New Roman" w:hAnsi="Times New Roman" w:eastAsia="Times New Roman"/>
          <w:b w:val="0"/>
          <w:sz w:val="20"/>
        </w:rPr>
        <w:t>where u_t denotes the raw desired displacement and x_t denotes the filtered displacement. Acceleration clipping then limits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m:t>
          </m:r>
          <m:sSub>
            <m:e>
              <m:r>
                <m:t xml:space="preserve">η</m:t>
              </m:r>
            </m:e>
            <m:sub>
              <m:r>
                <m:t xml:space="preserve">t</m:t>
              </m:r>
            </m:sub>
          </m:sSub>
          <m:r>
            <m:t xml:space="preserve"> ~ N(0,</m:t>
          </m:r>
          <m:sSup>
            <m:e>
              <m:r>
                <m:t xml:space="preserve">σ</m:t>
              </m:r>
            </m:e>
            <m:sup>
              <m:r>
                <m:t xml:space="preserve">2</m:t>
              </m:r>
            </m:sup>
          </m:sSup>
          <m:r>
            <m:t xml:space="preserve">I)</m:t>
          </m:r>
          <m:r>
            <m:t xml:space="preserve">    (5)</m:t>
          </m:r>
        </m:oMath>
      </m:oMathPara>
    </w:p>
    <w:p>
      <w:pPr>
        <w:ind w:firstLine="288"/>
        <w:jc w:val="both"/>
      </w:pPr>
      <w:r>
        <w:rPr>
          <w:rFonts w:ascii="Times New Roman" w:hAnsi="Times New Roman" w:eastAsia="Times New Roman"/>
          <w:b w:val="0"/>
          <w:sz w:val="20"/>
        </w:rPr>
        <w:t>where delta is sampled from the delay range and eta_t models camera-level position noise.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CMD-DR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but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target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an opponent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training objective also differs from that of a purely competitive game. The robot should not simply learn to defeat the hand. It should maintain an appropriate level of challenge for users with different movement patterns. For this reason, the opponent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opponent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opponent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opponents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opponent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A shorter episode usually means that the hand quickly catches the microrobot or forces early termination, indicating that the current robot policy has difficulty handling that pursuit pattern.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(10).</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r>
        <w:br/>
      </w: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r>
        <w:br/>
      </w: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(10)</m:t>
          </m:r>
        </m:oMath>
      </m:oMathPara>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(11)</m:t>
          </m:r>
        </m:oMath>
      </m:oMathPara>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The PFSP coefficient alpha_PFSP is a sampling-priority exponent and is unrelated to the motor-inertia coefficient alpha in Table I.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opponent-sampling rule is given in (11).</w:t>
      </w:r>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In our implementation, the rolling window contains 2000 episodes, alpha_PFSP = 1.0, tau = 1.0, mu = 0.05, and p_SPC = 0.20. Keeping the SPC in the pool reduces the risk that the robot overfits to artifacts of learned hand policies, while PFSP concentrates learned-policy sampling on opponents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hand-behavior models introduced in Section III. The robot controlled the magnetic microrobot, while the hand trajectory was generated by one of three evaluation interfaces. The first was the stochastic scripted pursuit controller, the second was a trained hand policy, and the third was a mouse-operated hand interface used for human-in-the-loop stress testing. The ZPD interval was fixed to 3.5-5.5 workspace units, and an interaction step was classified as in-zone when the Euclidean distance between the hand and the microrobot fell within this interval. The simulator and physical deployment use the same 15 x 10 planar coordinate frame, so one workspace unit corresponds to 1 cm in the calibrated physical workspace. Thus, the 3.5-5.5 workspace-unit ZPD maps to 3.5-5.5 cm in the physical rollout analysis.</w:t>
      </w:r>
    </w:p>
    <w:p>
      <w:pPr>
        <w:ind w:firstLine="288"/>
        <w:jc w:val="both"/>
      </w:pPr>
      <w:r>
        <w:rPr>
          <w:rFonts w:ascii="Times New Roman" w:hAnsi="Times New Roman" w:eastAsia="Times New Roman"/>
          <w:b w:val="0"/>
          <w:sz w:val="20"/>
        </w:rPr>
        <w:t>Time-In-Zone (TIZ)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measures the frequency with which the microrobot is reached too quickly. For league evaluation, robustness across learned hand policies was summarized using mean TIZ, worst-hand TIZ, and Conditional Value-at-Risk over the worst 20% of hand policies (CVaR20) of TIZ.</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tests whether opponent-pool training reduces the brittle specialization that can occur when the robot is optimized against a single hand model. The robot is trained for ten generations while the hand pool is expanded with learned hand policies.</w:t>
      </w:r>
    </w:p>
    <w:p>
      <w:pPr>
        <w:ind w:firstLine="288"/>
        <w:jc w:val="both"/>
      </w:pPr>
      <w:r>
        <w:rPr>
          <w:rFonts w:ascii="Times New Roman" w:hAnsi="Times New Roman" w:eastAsia="Times New Roman"/>
          <w:b w:val="0"/>
          <w:sz w:val="20"/>
        </w:rPr>
        <w:t>League training improves both average behavior and difficult-case behavior, as shown in Fig. 3. The cross-iteration validation matrix evaluates each robot generation against each learned hand policy. Earlier learned hand policies remain comparatively easy to regulate, whereas later policies introduce pursuit strategies that are harder for narrow training regimes. Later robot generations improve across a broader portion of this matrix, indicating that the league does not merely produce a policy that performs well on the final learned hand policy.</w:t>
      </w:r>
    </w:p>
    <w:p>
      <w:pPr>
        <w:ind w:firstLine="288"/>
        <w:jc w:val="both"/>
      </w:pPr>
      <w:r>
        <w:rPr>
          <w:rFonts w:ascii="Times New Roman" w:hAnsi="Times New Roman" w:eastAsia="Times New Roman"/>
          <w:b w:val="0"/>
          <w:sz w:val="20"/>
        </w:rPr>
        <w:t>Lower-tail robustness is important for adaptive difficulty regulation. Mean TIZ improves across generations, but worst-hand TIZ and CVaR20 also improve. A controller that raises only the average score could still fail for users with more difficult movement patterns. The frontier view shows that later robot generations move toward policies that retain useful ZPD regulation even on harder hand policies.</w:t>
      </w:r>
    </w:p>
    <w:p>
      <w:pPr>
        <w:ind w:firstLine="288"/>
        <w:jc w:val="both"/>
      </w:pPr>
      <w:r>
        <w:rPr>
          <w:rFonts w:ascii="Times New Roman" w:hAnsi="Times New Roman" w:eastAsia="Times New Roman"/>
          <w:b w:val="0"/>
          <w:sz w:val="20"/>
        </w:rPr>
        <w:t>The final-generation results clarify the remaining failure modes. Some hand policies still create episodes that become too close, while others push the robot toward too-far interactions. Separating these modes matters because both reduce task utility for different reasons. Too-close interactions make the task too easy, while too-far interactions make the task discouraging or unreachable. The league policy maintains useful ZPD coverage despite these different failure patterns, suggesting that the learned behavior is balanced rather than tuned to one type of opponent.</w:t>
      </w:r>
    </w:p>
    <w:p>
      <w:pPr>
        <w:ind w:firstLine="288"/>
        <w:jc w:val="both"/>
      </w:pPr>
      <w:r>
        <w:rPr>
          <w:rFonts w:ascii="Times New Roman" w:hAnsi="Times New Roman" w:eastAsia="Times New Roman"/>
          <w:b w:val="0"/>
          <w:sz w:val="20"/>
        </w:rPr>
        <w:t>The PFSP sampling traces link this balanced performance to the curriculum induced by opponent sampling. Sampling probability shifts toward learned hand policies that remain challenging for the current robot generation, while the uniform mixture and fixed SPC probability keep earlier and rule-based pursuit behaviors available. As the league evolves, difficult learned opponents receive more attention without removing simpler pursuit behavior from the training distribution.</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League-training validation and opponent-sampling dynamics for the no-opponent-ID ZPD 3.5-5.5 simulation. (a) Cross-iteration TIZ matrix between robot generations and learned hand generations. (b) Mean, worst-hand, and CVaR20 TIZ across robot generations. (c) Robustness frontier relating mean TIZ, worst-hand TIZ, and CVaR20. (d) Final-generation failure decomposition showing too-close rate, too-far rate, and ZPD coverage across test hands. (e) PFSP sampling-probability snapshots during selected training iterations.</w:t>
      </w:r>
    </w:p>
    <w:p>
      <w:pPr>
        <w:ind w:firstLine="288"/>
        <w:jc w:val="both"/>
      </w:pPr>
      <w:r>
        <w:rPr>
          <w:rFonts w:ascii="Times New Roman" w:hAnsi="Times New Roman" w:eastAsia="Times New Roman"/>
          <w:b w:val="0"/>
          <w:sz w:val="20"/>
        </w:rPr>
        <w:t>Policy comparison across three hand test sets provides a stricter test of specialization. The final SPC-only, single-hand, and league-trained robot policies are evaluated against the SPC, a learned hand policy, and a mouse-controlled hand, as summarized in Table II. The mouse-controlled condition introduces human reaction time and voluntary pursuit strategy, so it is interpreted as a human-in-the-loop stress test rather than another automated opponent. Higher TIZ, ZPD coverage, and episode length are preferred, whereas lower catch rate is preferred.</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EDEDED"/>
          </w:tcPr>
          <w:p>
            <w:pPr>
              <w:jc w:val="center"/>
            </w:pPr>
            <w:r>
              <w:rPr>
                <w:rFonts w:ascii="Times New Roman" w:hAnsi="Times New Roman" w:eastAsia="Times New Roman"/>
                <w:b/>
                <w:sz w:val="17"/>
              </w:rPr>
              <w:t>Robot policy</w:t>
            </w:r>
          </w:p>
        </w:tc>
        <w:tc>
          <w:tcPr>
            <w:tcW w:type="dxa" w:w="1704"/>
            <w:vAlign w:val="center"/>
            <w:shd w:fill="EDEDED"/>
          </w:tcPr>
          <w:p>
            <w:pPr>
              <w:jc w:val="center"/>
            </w:pPr>
            <w:r>
              <w:rPr>
                <w:rFonts w:ascii="Times New Roman" w:hAnsi="Times New Roman" w:eastAsia="Times New Roman"/>
                <w:b/>
                <w:sz w:val="17"/>
              </w:rPr>
              <w:t>Test set</w:t>
            </w:r>
          </w:p>
        </w:tc>
        <w:tc>
          <w:tcPr>
            <w:tcW w:type="dxa" w:w="1704"/>
            <w:vAlign w:val="center"/>
            <w:shd w:fill="EDEDED"/>
          </w:tcPr>
          <w:p>
            <w:pPr>
              <w:jc w:val="center"/>
            </w:pPr>
            <w:r>
              <w:rPr>
                <w:rFonts w:ascii="Times New Roman" w:hAnsi="Times New Roman" w:eastAsia="Times New Roman"/>
                <w:b/>
                <w:sz w:val="17"/>
              </w:rPr>
              <w:t>TIZ</w:t>
            </w:r>
          </w:p>
        </w:tc>
        <w:tc>
          <w:tcPr>
            <w:tcW w:type="dxa" w:w="1704"/>
            <w:vAlign w:val="center"/>
            <w:shd w:fill="EDEDED"/>
          </w:tcPr>
          <w:p>
            <w:pPr>
              <w:jc w:val="center"/>
            </w:pPr>
            <w:r>
              <w:rPr>
                <w:rFonts w:ascii="Times New Roman" w:hAnsi="Times New Roman" w:eastAsia="Times New Roman"/>
                <w:b/>
                <w:sz w:val="17"/>
              </w:rPr>
              <w:t>ZPD coverage</w:t>
            </w:r>
          </w:p>
        </w:tc>
        <w:tc>
          <w:tcPr>
            <w:tcW w:type="dxa" w:w="1704"/>
            <w:vAlign w:val="center"/>
            <w:shd w:fill="EDEDED"/>
          </w:tcPr>
          <w:p>
            <w:pPr>
              <w:jc w:val="center"/>
            </w:pPr>
            <w:r>
              <w:rPr>
                <w:rFonts w:ascii="Times New Roman" w:hAnsi="Times New Roman" w:eastAsia="Times New Roman"/>
                <w:b/>
                <w:sz w:val="17"/>
              </w:rPr>
              <w:t>Length</w:t>
            </w:r>
          </w:p>
        </w:tc>
        <w:tc>
          <w:tcPr>
            <w:tcW w:type="dxa" w:w="1704"/>
            <w:vAlign w:val="center"/>
            <w:shd w:fill="EDEDED"/>
          </w:tcPr>
          <w:p>
            <w:pPr>
              <w:jc w:val="center"/>
            </w:pPr>
            <w:r>
              <w:rPr>
                <w:rFonts w:ascii="Times New Roman" w:hAnsi="Times New Roman" w:eastAsia="Times New Roman"/>
                <w:b/>
                <w:sz w:val="17"/>
              </w:rPr>
              <w:t>Catch rate</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0.31</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52</w:t>
            </w:r>
          </w:p>
        </w:tc>
        <w:tc>
          <w:tcPr>
            <w:tcW w:type="dxa" w:w="1704"/>
            <w:vAlign w:val="center"/>
          </w:tcPr>
          <w:p>
            <w:pPr>
              <w:jc w:val="center"/>
            </w:pPr>
            <w:r>
              <w:rPr>
                <w:rFonts w:ascii="Times New Roman" w:hAnsi="Times New Roman" w:eastAsia="Times New Roman"/>
                <w:b w:val="0"/>
                <w:sz w:val="17"/>
              </w:rPr>
              <w:t>60%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31</w:t>
            </w:r>
          </w:p>
        </w:tc>
        <w:tc>
          <w:tcPr>
            <w:tcW w:type="dxa" w:w="1704"/>
            <w:vAlign w:val="center"/>
          </w:tcPr>
          <w:p>
            <w:pPr>
              <w:jc w:val="center"/>
            </w:pPr>
            <w:r>
              <w:rPr>
                <w:rFonts w:ascii="Times New Roman" w:hAnsi="Times New Roman" w:eastAsia="Times New Roman"/>
                <w:b w:val="0"/>
                <w:sz w:val="17"/>
              </w:rPr>
              <w:t>90%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0.14</w:t>
            </w:r>
          </w:p>
        </w:tc>
        <w:tc>
          <w:tcPr>
            <w:tcW w:type="dxa" w:w="1704"/>
            <w:vAlign w:val="center"/>
          </w:tcPr>
          <w:p>
            <w:pPr>
              <w:jc w:val="center"/>
            </w:pPr>
            <w:r>
              <w:rPr>
                <w:rFonts w:ascii="Times New Roman" w:hAnsi="Times New Roman" w:eastAsia="Times New Roman"/>
                <w:b w:val="0"/>
                <w:sz w:val="17"/>
              </w:rPr>
              <w:t>0.50</w:t>
            </w:r>
          </w:p>
        </w:tc>
        <w:tc>
          <w:tcPr>
            <w:tcW w:type="dxa" w:w="1704"/>
            <w:vAlign w:val="center"/>
          </w:tcPr>
          <w:p>
            <w:pPr>
              <w:jc w:val="center"/>
            </w:pPr>
            <w:r>
              <w:rPr>
                <w:rFonts w:ascii="Times New Roman" w:hAnsi="Times New Roman" w:eastAsia="Times New Roman"/>
                <w:b w:val="0"/>
                <w:sz w:val="17"/>
              </w:rPr>
              <w:t>33</w:t>
            </w:r>
          </w:p>
        </w:tc>
        <w:tc>
          <w:tcPr>
            <w:tcW w:type="dxa" w:w="1704"/>
            <w:vAlign w:val="center"/>
          </w:tcPr>
          <w:p>
            <w:pPr>
              <w:jc w:val="center"/>
            </w:pPr>
            <w:r>
              <w:rPr>
                <w:rFonts w:ascii="Times New Roman" w:hAnsi="Times New Roman" w:eastAsia="Times New Roman"/>
                <w:b w:val="0"/>
                <w:sz w:val="17"/>
              </w:rPr>
              <w:t>100%</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0.11</w:t>
            </w:r>
          </w:p>
        </w:tc>
        <w:tc>
          <w:tcPr>
            <w:tcW w:type="dxa" w:w="1704"/>
            <w:vAlign w:val="center"/>
          </w:tcPr>
          <w:p>
            <w:pPr>
              <w:jc w:val="center"/>
            </w:pPr>
            <w:r>
              <w:rPr>
                <w:rFonts w:ascii="Times New Roman" w:hAnsi="Times New Roman" w:eastAsia="Times New Roman"/>
                <w:b w:val="0"/>
                <w:sz w:val="17"/>
              </w:rPr>
              <w:t>0.41</w:t>
            </w:r>
          </w:p>
        </w:tc>
        <w:tc>
          <w:tcPr>
            <w:tcW w:type="dxa" w:w="1704"/>
            <w:vAlign w:val="center"/>
          </w:tcPr>
          <w:p>
            <w:pPr>
              <w:jc w:val="center"/>
            </w:pPr>
            <w:r>
              <w:rPr>
                <w:rFonts w:ascii="Times New Roman" w:hAnsi="Times New Roman" w:eastAsia="Times New Roman"/>
                <w:b w:val="0"/>
                <w:sz w:val="17"/>
              </w:rPr>
              <w:t>25</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0.60</w:t>
            </w:r>
          </w:p>
        </w:tc>
        <w:tc>
          <w:tcPr>
            <w:tcW w:type="dxa" w:w="1704"/>
            <w:vAlign w:val="center"/>
          </w:tcPr>
          <w:p>
            <w:pPr>
              <w:jc w:val="center"/>
            </w:pPr>
            <w:r>
              <w:rPr>
                <w:rFonts w:ascii="Times New Roman" w:hAnsi="Times New Roman" w:eastAsia="Times New Roman"/>
                <w:b w:val="0"/>
                <w:sz w:val="17"/>
              </w:rPr>
              <w:t>70</w:t>
            </w:r>
          </w:p>
        </w:tc>
        <w:tc>
          <w:tcPr>
            <w:tcW w:type="dxa" w:w="1704"/>
            <w:vAlign w:val="center"/>
          </w:tcPr>
          <w:p>
            <w:pPr>
              <w:jc w:val="center"/>
            </w:pPr>
            <w:r>
              <w:rPr>
                <w:rFonts w:ascii="Times New Roman" w:hAnsi="Times New Roman" w:eastAsia="Times New Roman"/>
                <w:b w:val="0"/>
                <w:sz w:val="17"/>
              </w:rPr>
              <w:t>38%</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40</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0.38</w:t>
            </w:r>
          </w:p>
        </w:tc>
        <w:tc>
          <w:tcPr>
            <w:tcW w:type="dxa" w:w="1704"/>
            <w:vAlign w:val="center"/>
          </w:tcPr>
          <w:p>
            <w:pPr>
              <w:jc w:val="center"/>
            </w:pPr>
            <w:r>
              <w:rPr>
                <w:rFonts w:ascii="Times New Roman" w:hAnsi="Times New Roman" w:eastAsia="Times New Roman"/>
                <w:b w:val="0"/>
                <w:sz w:val="17"/>
              </w:rPr>
              <w:t>0.55</w:t>
            </w:r>
          </w:p>
        </w:tc>
        <w:tc>
          <w:tcPr>
            <w:tcW w:type="dxa" w:w="1704"/>
            <w:vAlign w:val="center"/>
          </w:tcPr>
          <w:p>
            <w:pPr>
              <w:jc w:val="center"/>
            </w:pPr>
            <w:r>
              <w:rPr>
                <w:rFonts w:ascii="Times New Roman" w:hAnsi="Times New Roman" w:eastAsia="Times New Roman"/>
                <w:b w:val="0"/>
                <w:sz w:val="17"/>
              </w:rPr>
              <w:t>67</w:t>
            </w:r>
          </w:p>
        </w:tc>
        <w:tc>
          <w:tcPr>
            <w:tcW w:type="dxa" w:w="1704"/>
            <w:vAlign w:val="center"/>
          </w:tcPr>
          <w:p>
            <w:pPr>
              <w:jc w:val="center"/>
            </w:pPr>
            <w:r>
              <w:rPr>
                <w:rFonts w:ascii="Times New Roman" w:hAnsi="Times New Roman" w:eastAsia="Times New Roman"/>
                <w:b w:val="0"/>
                <w:sz w:val="17"/>
              </w:rPr>
              <w:t>43%</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0.65</w:t>
            </w:r>
          </w:p>
        </w:tc>
        <w:tc>
          <w:tcPr>
            <w:tcW w:type="dxa" w:w="1704"/>
            <w:vAlign w:val="center"/>
          </w:tcPr>
          <w:p>
            <w:pPr>
              <w:jc w:val="center"/>
            </w:pPr>
            <w:r>
              <w:rPr>
                <w:rFonts w:ascii="Times New Roman" w:hAnsi="Times New Roman" w:eastAsia="Times New Roman"/>
                <w:b w:val="0"/>
                <w:sz w:val="17"/>
              </w:rPr>
              <w:t>64</w:t>
            </w:r>
          </w:p>
        </w:tc>
        <w:tc>
          <w:tcPr>
            <w:tcW w:type="dxa" w:w="1704"/>
            <w:vAlign w:val="center"/>
          </w:tcPr>
          <w:p>
            <w:pPr>
              <w:jc w:val="center"/>
            </w:pPr>
            <w:r>
              <w:rPr>
                <w:rFonts w:ascii="Times New Roman" w:hAnsi="Times New Roman" w:eastAsia="Times New Roman"/>
                <w:b w:val="0"/>
                <w:sz w:val="17"/>
              </w:rPr>
              <w:t>48%</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0.66</w:t>
            </w:r>
          </w:p>
        </w:tc>
        <w:tc>
          <w:tcPr>
            <w:tcW w:type="dxa" w:w="1704"/>
            <w:vAlign w:val="center"/>
          </w:tcPr>
          <w:p>
            <w:pPr>
              <w:jc w:val="center"/>
            </w:pPr>
            <w:r>
              <w:rPr>
                <w:rFonts w:ascii="Times New Roman" w:hAnsi="Times New Roman" w:eastAsia="Times New Roman"/>
                <w:b w:val="0"/>
                <w:sz w:val="17"/>
              </w:rPr>
              <w:t>74</w:t>
            </w:r>
          </w:p>
        </w:tc>
        <w:tc>
          <w:tcPr>
            <w:tcW w:type="dxa" w:w="1704"/>
            <w:vAlign w:val="center"/>
          </w:tcPr>
          <w:p>
            <w:pPr>
              <w:jc w:val="center"/>
            </w:pPr>
            <w:r>
              <w:rPr>
                <w:rFonts w:ascii="Times New Roman" w:hAnsi="Times New Roman" w:eastAsia="Times New Roman"/>
                <w:b w:val="0"/>
                <w:sz w:val="17"/>
              </w:rPr>
              <w:t>60%</w:t>
            </w:r>
          </w:p>
        </w:tc>
      </w:tr>
    </w:tbl>
    <w:p>
      <w:pPr>
        <w:ind w:firstLine="288"/>
        <w:jc w:val="both"/>
      </w:pPr>
      <w:r>
        <w:rPr>
          <w:rFonts w:ascii="Times New Roman" w:hAnsi="Times New Roman" w:eastAsia="Times New Roman"/>
          <w:b w:val="0"/>
          <w:sz w:val="20"/>
        </w:rPr>
        <w:t>Training against a narrow hand model leads to complementary failure modes across the three test sets. The SPC-only robot remains competitive on the scripted pursuit controller but produces short, low-TIZ interactions against the learned and mouse-controlled hands. The single-hand robot shows the opposite pattern. It performs well against the learned hand policy but degrades sharply against the SPC and mouse-controlled hands, indicating specialization to one pursuit style.</w:t>
      </w:r>
    </w:p>
    <w:p>
      <w:pPr>
        <w:ind w:firstLine="288"/>
        <w:jc w:val="both"/>
      </w:pPr>
      <w:r>
        <w:rPr>
          <w:rFonts w:ascii="Times New Roman" w:hAnsi="Times New Roman" w:eastAsia="Times New Roman"/>
          <w:b w:val="0"/>
          <w:sz w:val="20"/>
        </w:rPr>
        <w:t>The league-trained robot avoids this cross-condition collapse. It achieves the highest TIZ and longest episodes on the SPC and mouse-controlled tests, while remaining comparable to the single-hand robot on the learned-hand test. The mouse-controlled result is especially informative because it introduces human reaction time and voluntary pursuit strategy. For adaptive difficulty regulation, this balanced profile is more important than optimizing a single test condition, because user behavior can shift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Opponent diversity alone does not determine whether the robot can use the information available in each observation. The ablation study asks whether the robot can regulate difficulty from the current geometric state alone, or whether it needs recent hand-motion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rPr>
          <w:rFonts w:ascii="Times New Roman" w:hAnsi="Times New Roman" w:eastAsia="Times New Roman"/>
          <w:b w:val="0"/>
          <w:sz w:val="20"/>
        </w:rPr>
        <w:t>Fig. 4 shows that temporal interaction history improves the robot policy beyond the MLP baseline, and that auxiliary future-dynamics supervision further improves the final task-quality profile. In the training curves, both recurrent policies achieve longer and more stable interactions than the MLP policy, indicating that recent hand-motion history is useful for regulating difficulty. The auxiliary GRU follows a similar training trend to the GRU policy, but its final evaluation is stronger in the task-quality summary: it achieves higher TIZ, broader workspace coverage, and lower jerk relative to the MLP baseline.</w:t>
      </w:r>
    </w:p>
    <w:p>
      <w:pPr>
        <w:ind w:firstLine="288"/>
        <w:jc w:val="both"/>
      </w:pPr>
      <w:r>
        <w:rPr>
          <w:rFonts w:ascii="Times New Roman" w:hAnsi="Times New Roman" w:eastAsia="Times New Roman"/>
          <w:b w:val="0"/>
          <w:sz w:val="20"/>
        </w:rPr>
        <w:t>The auxiliary prediction examples provide a complementary diagnostic of why this improvement is plausible. The future-dynamics head learns to predict short-horizon hand displacement from the recurrent representation, so the temporal encoder is trained not only through sparse policy gradients but also through a supervised motion-prediction signal. This additional signal encourages the representation to encode pursuit direction, inertia, and short-term changes in hand motion. The result is not merely an interpretable auxiliary output; it also contributes to the final control behavior summarized in Fig. 4(d).</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 (c) visualizes representative auxiliary future-prediction examples. Panel (d) summarizes final task-quality metrics normalized to the MLP baseline.</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magnetic microrobot platform to evaluate zero-shot physical execution under real hand input. A healthy pilot pursued the microrobot on the acrylic workspace while the UR10 drove the magnetic actuator below the surface. The policy was transferred without physical fine-tuning. The physical data comprise nine zero-shot rollouts from the same pilot session. Across these rollouts, the camera stream was requested at 2592 x 1944 resolution and processed at 12.1 Hz on average, the UR10 command loop averaged 17.9 Hz, and PPO inference required 2.24 ms on average. The mean image-to-control age recorded in the control loop was 26.8 ms, with a 95th percentile of 63.3 ms. The physical rollouts lasted 14.9-41.6 s, with a mean duration of 28.4 s.</w:t>
      </w:r>
    </w:p>
    <w:p>
      <w:pPr>
        <w:ind w:firstLine="288"/>
        <w:jc w:val="both"/>
      </w:pPr>
      <w:r>
        <w:rPr>
          <w:rFonts w:ascii="Times New Roman" w:hAnsi="Times New Roman" w:eastAsia="Times New Roman"/>
          <w:b w:val="0"/>
          <w:sz w:val="20"/>
        </w:rPr>
        <w:t>The implementation preserves the simulation observation layout without adding UR10 telemetry or end-effector pose to the learned-policy input. At each control step, the observation was constructed from calibrated camera measurements of the hand and microrobot, workspace-boundary features, the previous executed robot command, and recent relative hand-displacement history, matching the categories in (6) and (7). The deployment controller used RTDE pose readback only to execute and monitor Cartesian target commands over Ethernet, not as an additional policy observation.</w:t>
      </w:r>
    </w:p>
    <w:p>
      <w:pPr>
        <w:ind w:firstLine="288"/>
        <w:jc w:val="both"/>
      </w:pPr>
      <w:r>
        <w:rPr>
          <w:rFonts w:ascii="Times New Roman" w:hAnsi="Times New Roman" w:eastAsia="Times New Roman"/>
          <w:b w:val="0"/>
          <w:sz w:val="20"/>
        </w:rPr>
        <w:t>Tracking and calibration were handled by the camera-based perception stack. The microrobot was detected with the trained YOLO model, the hand was detected with MediaPipe-based hand tracking, and a homography calibration mapped image coordinates into the 15 x 10 cm workspace. When a new hand detection was not available, the controller used low-pass dead-reckoning from the last measured hand velocity until the next camera update. Safety constraints included workspace clipping of commanded targets, a maximum commanded target step of 0.6 cm, automatic stop-on-catch at a 1.5 cm distance threshold,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among the nine physical trials.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show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shows that changes in human pursuit speed are reflected in the physical interaction and in the robot response during the same rollout. Thus, the deployment result verifies more than offline policy inference: it shows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magnetic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