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`methodology_ieee_v2.36_notation_unit_clarity.md`. This version strengthens the active-pursuit motivation, clarifies self-supervised auxiliary learning and PFSP curriculum logic, standardizes manual mouse pursuit terminology, defines catch rate more precisely, and condenses selected result prose.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In (1), r_dist(d_t) is the distance-regulation term, which rewards separations inside the ZPD band and penalizes distances that are too close or too far. The term r_smooth(a_t) is the action-smoothness term, which discourages abrupt robot motion. The term r_bound(p_R,t) is the workspace-boundary term, which penalizes the microrobot for leaving the valid workspace. The term r_catch(d_t) is the catch-avoidance term, which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chooses a unit direction q_t and moves one stride along that direction:</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With probability 1-epsilon, q_t points from the current hand position toward the microrobot. With probability epsilon, q_t is a random unit direction. In our experiments, rho_ep is sampled uniformly between 0.45 and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microrobot, while the hand trajectory was generated by one of three evaluation interfaces. The first was the stochastic scripted pursuit controller, the second was a trained hand policy, and the third was a manual mouse pursuit interface used for human-in-the-loop stress testing. The ZPD interval was fixed to 3.5-5.5 workspace units, and an interaction step was classified as in-zone when the Euclidean distance between the hand and the microrobot fell within this interval. The simulator and physical deployment use the same 15 x 10 planar coordinate frame, so one workspace unit corresponds to 1 cm in the calibrated physical workspace. Thus, the 3.5-5.5 workspace-unit ZPD maps to 3.5-5.5 cm in the physical rollout analysis.</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is the fraction of evaluation episodes terminated by catch before the horizon.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hand-policy 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and difficult-case behavior in the cross-hand evaluation. Later robot generations improve across a broader set of learned hand policies rather than only against the final hand policy, suggesting reduced specialization to a single pursuit style.</w:t>
      </w:r>
    </w:p>
    <w:p>
      <w:pPr>
        <w:ind w:firstLine="288"/>
        <w:jc w:val="both"/>
      </w:pPr>
      <w:r>
        <w:rPr>
          <w:rFonts w:ascii="Times New Roman" w:hAnsi="Times New Roman" w:eastAsia="Times New Roman"/>
          <w:b w:val="0"/>
          <w:sz w:val="20"/>
        </w:rPr>
        <w:t>Lower-tail metrics support the same conclusion. Mean TIZ, worst-hand TIZ, and CVaR20 improve together, suggesting that the gain is not driven only by easy hand policies. The final-generation failure decomposition further reveals that the league policy balances too-close and too-far errors while preserving useful ZPD coverage.</w:t>
      </w:r>
    </w:p>
    <w:p>
      <w:pPr>
        <w:ind w:firstLine="288"/>
        <w:jc w:val="both"/>
      </w:pPr>
      <w:r>
        <w:rPr>
          <w:rFonts w:ascii="Times New Roman" w:hAnsi="Times New Roman" w:eastAsia="Times New Roman"/>
          <w:b w:val="0"/>
          <w:sz w:val="20"/>
        </w:rPr>
        <w:t>The PFSP sampling traces explain how this robustness emerges. Sampling probability shifts toward hand policies that remain challenging for the current robot generation, while the uniform mixture and fixed SPC probability keep earlier and rule-based pursuit behaviors in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manual mouse pursuit, as summarized in Table II. Manual mouse pursuit introduces human reaction time and voluntary pursuit strategy, so it is interpreted as a human-in-the-loop stress test rather than another automated hand policy.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Manual mouse</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Manual mouse</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Manual mouse</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learned-hand and manual-mouse test sets. The single-hand robot follows the opposite pattern. It performs well against the learned hand policy but degrades sharply against the SPC and manual mouse pursuit, suggesting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manual mouse pursuit tests, while remaining comparable to the single-hand robot on the learned-hand test. The manual mouse pursuit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Temporal interaction history improves the learned controller beyond the MLP baseline. Both recurrent policies produce longer and more stable training episodes, while auxiliary future-dynamics supervision strengthens the final task-quality profile with higher TIZ, broader workspace coverage, and lower jerk.</w:t>
      </w:r>
    </w:p>
    <w:p>
      <w:pPr>
        <w:ind w:firstLine="288"/>
        <w:jc w:val="both"/>
      </w:pPr>
      <w:r>
        <w:rPr>
          <w:rFonts w:ascii="Times New Roman" w:hAnsi="Times New Roman" w:eastAsia="Times New Roman"/>
          <w:b w:val="0"/>
          <w:sz w:val="20"/>
        </w:rPr>
        <w:t>The auxiliary prediction examples provide a diagnostic of the learned temporal representation. By predicting short-horizon hand displacement from the recurrent state, the auxiliary head trains the encoder through a self-supervised motion-prediction signal in addition to policy gradients. These predictions serve both as an interpretable representation check and as an additional training signal for the control policy.</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summarize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demonstrates that changes in human pursuit speed are reflected in the physical interaction and in the robot response during the same rollout. Thus, the deployment result verifies more than offline policy inference: it demonstrates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