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`methodology_ieee_v2.38_quantified_results_slim_table.md`. This version clarifies CMD-DR formula notation, adds a compact Table II statistics note, removes internal experiment naming from Fig. 3, and reduces numeric detail in result prose.</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It places the user in a pursuit role rather than a passive following role, aligning the task with the need for active engagement in motor rehabilitation. We formulate the control problem as a reinforcement learning (RL) task in which the robot regulates interaction difficulty through the motion of the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In (1), r_dist(d_t) is the distance-regulation term, which rewards separations inside the ZPD band and penalizes distances that are too close or too far. The term r_smooth(a_t) is the action-smoothness term, which discourages abrupt robot motion. The term r_bound(p_R,t) is the workspace-boundary term, which penalizes the microrobot for leaving the valid workspace. The term r_catch(d_t) is the catch-avoidance term, which penalizes episodes in which the hand reaches the microrobot. Episodes terminate when the microrobot is caught, leaves the valid workspace, or reaches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(CMD-DR) broadens the simulated user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Users can differ both in how they choose to move and in how accurately they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hand-policy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chooses a unit direction q_t and moves one stride along that direction:</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With probability 1-epsilon, q_t points from the current hand position toward the microrobot. With probability epsilon, q_t is a random unit direction. In our experiments, rho_ep is sampled uniformly between 0.45 and 0.70, and epsilon = 0.05. The learned hand policies replace (2)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(3)</m:t>
          </m:r>
        </m:oMath>
      </m:oMathPara>
    </w:p>
    <w:p>
      <w:pPr>
        <w:ind w:firstLine="288"/>
        <w:jc w:val="both"/>
      </w:pPr>
      <w:r>
        <w:rPr>
          <w:rFonts w:ascii="Times New Roman" w:hAnsi="Times New Roman" w:eastAsia="Times New Roman"/>
          <w:b w:val="0"/>
          <w:sz w:val="20"/>
        </w:rPr>
        <w:t>where u_t denotes the raw desired displacement, x_t denotes the filtered displacement, and alpha in (0,1) is the inertia coefficient. Acceleration clipping is then applied componentwise to limit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(5)</m:t>
          </m:r>
        </m:oMath>
      </m:oMathPara>
    </w:p>
    <w:p>
      <w:pPr>
        <w:ind w:firstLine="288"/>
        <w:jc w:val="both"/>
      </w:pPr>
      <w:r>
        <w:rPr>
          <w:rFonts w:ascii="Times New Roman" w:hAnsi="Times New Roman" w:eastAsia="Times New Roman"/>
          <w:b w:val="0"/>
          <w:sz w:val="20"/>
        </w:rPr>
        <w:t>where delta is sampled from the delay range and eta_t is zero-mean Gaussian position noise with covariance sigma^2 I.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However,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task is self-supervised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 hand-policy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hand-policy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hand-policy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hand-policy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hand policies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hand-policy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A shorter episode usually means that the hand quickly catches the microrobot or forces early termination, indicating that the current robot policy has difficulty handling that pursuit pattern. This episode-length priority acts as a dynamic curriculum, directing robot training toward the hand policies that are currently most challenging.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hand-policy 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implementation, the PFSP estimate uses a finite rolling window, a small uniform exploration mass, and a fixed SPC sampling probability. Keeping the SPC in the pool reduces the risk that the robot overfits to artifacts of learned hand policies, while PFSP concentrates learned-policy sampling on hand policies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hand-behavior models introduced in Section III. The robot controlled the microrobot, while the hand trajectory was generated by one of three evaluation interfaces. The first was the stochastic scripted pursuit controller, the second was a trained hand policy, and the third was a manual mouse pursuit interface used for human-in-the-loop stress testing. The ZPD interval was fixed to 3.5-5.5 workspace units, and an interaction step was classified as in-zone when the Euclidean distance between the hand and the microrobot fell within this interval. The simulator and physical deployment use the same 15 x 10 planar coordinate frame, so one workspace unit corresponds to 1 cm in the calibrated physical workspace. Thus, the 3.5-5.5 workspace-unit ZPD maps to 3.5-5.5 cm in the physical rollout analysis.</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is the fraction of evaluation episodes terminated by catch before the horizon.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hand-policy 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and difficult-case behavior in the cross-hand evaluation. Mean, worst-hand, and lower-tail TIZ all increase from early to final robot generations, suggesting reduced specialization to a single pursuit style. The final-generation failure decomposition further indicates that the league policy balances too-close and too-far errors while preserving useful ZPD coverage.</w:t>
      </w:r>
    </w:p>
    <w:p>
      <w:pPr>
        <w:ind w:firstLine="288"/>
        <w:jc w:val="both"/>
      </w:pPr>
      <w:r>
        <w:rPr>
          <w:rFonts w:ascii="Times New Roman" w:hAnsi="Times New Roman" w:eastAsia="Times New Roman"/>
          <w:b w:val="0"/>
          <w:sz w:val="20"/>
        </w:rPr>
        <w:t>The PFSP sampling traces explain how this robustness emerges. Sampling probability shifts toward hand policies that remain challenging for the current robot generation, while the uniform mixture and fixed SPC probability keep earlier and rule-based pursuit behaviors in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under the ZPD 3.5-5.5 simulation setting. (a) Cross-iteration TIZ matrix between robot generations and learned hand generations. (b) Mean, worst-hand, and CVaR20 TIZ across robot generations. (c) Robustness frontier relating mean TIZ, worst-hand TIZ,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manual mouse pursuit, as summarized in Table II. Manual mouse pursuit introduces human reaction time and voluntary pursuit strategy, so it is interpreted as a human-in-the-loop stress test rather than another automated hand policy. Higher TIZ and episode length are preferred.</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w:t>
            </w:r>
          </w:p>
        </w:tc>
        <w:tc>
          <w:tcPr>
            <w:tcW w:type="dxa" w:w="2556"/>
            <w:vAlign w:val="center"/>
          </w:tcPr>
          <w:p>
            <w:pPr>
              <w:jc w:val="center"/>
            </w:pPr>
            <w:r>
              <w:rPr>
                <w:rFonts w:ascii="Times New Roman" w:hAnsi="Times New Roman" w:eastAsia="Times New Roman"/>
                <w:b w:val="0"/>
                <w:sz w:val="17"/>
              </w:rPr>
              <w:t>52</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31</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w:t>
            </w:r>
          </w:p>
        </w:tc>
        <w:tc>
          <w:tcPr>
            <w:tcW w:type="dxa" w:w="2556"/>
            <w:vAlign w:val="center"/>
          </w:tcPr>
          <w:p>
            <w:pPr>
              <w:jc w:val="center"/>
            </w:pPr>
            <w:r>
              <w:rPr>
                <w:rFonts w:ascii="Times New Roman" w:hAnsi="Times New Roman" w:eastAsia="Times New Roman"/>
                <w:b w:val="0"/>
                <w:sz w:val="17"/>
              </w:rPr>
              <w:t>33</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w:t>
            </w:r>
          </w:p>
        </w:tc>
        <w:tc>
          <w:tcPr>
            <w:tcW w:type="dxa" w:w="2556"/>
            <w:vAlign w:val="center"/>
          </w:tcPr>
          <w:p>
            <w:pPr>
              <w:jc w:val="center"/>
            </w:pPr>
            <w:r>
              <w:rPr>
                <w:rFonts w:ascii="Times New Roman" w:hAnsi="Times New Roman" w:eastAsia="Times New Roman"/>
                <w:b w:val="0"/>
                <w:sz w:val="17"/>
              </w:rPr>
              <w:t>25</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70</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40</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w:t>
            </w:r>
          </w:p>
        </w:tc>
        <w:tc>
          <w:tcPr>
            <w:tcW w:type="dxa" w:w="2556"/>
            <w:vAlign w:val="center"/>
          </w:tcPr>
          <w:p>
            <w:pPr>
              <w:jc w:val="center"/>
            </w:pPr>
            <w:r>
              <w:rPr>
                <w:rFonts w:ascii="Times New Roman" w:hAnsi="Times New Roman" w:eastAsia="Times New Roman"/>
                <w:b w:val="0"/>
                <w:sz w:val="17"/>
              </w:rPr>
              <w:t>67</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w:t>
            </w:r>
          </w:p>
        </w:tc>
        <w:tc>
          <w:tcPr>
            <w:tcW w:type="dxa" w:w="2556"/>
            <w:vAlign w:val="center"/>
          </w:tcPr>
          <w:p>
            <w:pPr>
              <w:jc w:val="center"/>
            </w:pPr>
            <w:r>
              <w:rPr>
                <w:rFonts w:ascii="Times New Roman" w:hAnsi="Times New Roman" w:eastAsia="Times New Roman"/>
                <w:b w:val="0"/>
                <w:sz w:val="17"/>
              </w:rPr>
              <w:t>64</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74</w:t>
            </w:r>
          </w:p>
        </w:tc>
      </w:tr>
    </w:tbl>
    <w:p>
      <w:pPr>
        <w:ind w:firstLine="288"/>
        <w:jc w:val="both"/>
      </w:pPr>
      <w:r>
        <w:rPr>
          <w:rFonts w:ascii="Times New Roman" w:hAnsi="Times New Roman" w:eastAsia="Times New Roman"/>
          <w:b w:val="0"/>
          <w:sz w:val="20"/>
        </w:rPr>
        <w:t>Each value is reported as a mean over 50 evaluation episodes for each test condition. TIZ denotes the mean fraction of the full episode horizon spent in the ZPD, and Length denotes mean episode length in simulation steps. Standard deviations are omitted to keep the policy comparison compact.</w:t>
      </w:r>
    </w:p>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on the scripted pursuit controller but produces short, low-TIZ interactions against the learned-hand and manual-mouse test sets. The single-hand robot follows the opposite pattern. It performs well against the learned hand policy but degrades sharply against the SPC and manual mouse pursuit, suggesting specialization to one pursuit style.</w:t>
      </w:r>
    </w:p>
    <w:p>
      <w:pPr>
        <w:ind w:firstLine="288"/>
        <w:jc w:val="both"/>
      </w:pPr>
      <w:r>
        <w:rPr>
          <w:rFonts w:ascii="Times New Roman" w:hAnsi="Times New Roman" w:eastAsia="Times New Roman"/>
          <w:b w:val="0"/>
          <w:sz w:val="20"/>
        </w:rPr>
        <w:t>The league-trained robot avoids this cross-condition collapse. It achieves the highest TIZ and longest episodes on the SPC and manual mouse pursuit tests, while remaining comparable to the single-hand robot on the learned-hand test. The manual mouse pursuit result is especially informative because it introduces human reaction time and voluntary pursuit strategy. For adaptive difficulty regulation, this balanced profile is more important than optimizing a single test condition, because user behavior can shift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hand-motion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Temporal interaction history improves the learned controller beyond the MLP baseline. The GRU policy improves task quality relative to the feed-forward encoder, and the auxiliary GRU gives the strongest TIZ and workspace-coverage performance. The auxiliary prediction examples provide a diagnostic of the learned temporal representation. By predicting short-horizon hand displacement from the recurrent state, the auxiliary head trains the encoder through a self-supervised motion-prediction signal in addition to policy gradients. The auxiliary GRU also produces smoother control in the final evaluation.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 (c) visualizes representative auxiliary future-prediction examples. Panel (d) summarizes final task-quality metrics normalized to the MLP baseline.</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and UR10 command loops operated near their target real-time rates, PPO inference required only a few milliseconds, and the image-to-control age remained within the range needed for online interaction.</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summarize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demonstrates that changes in human pursuit speed are reflected in the physical interaction and in the robot response during the same rollout. Thus, the deployment result verifies more than offline policy inference: it demonstrates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