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`methodology_ieee_v2.40_no_cmd_dr_spc_symbol_polish.md`. This version rewrites the league-training results section, corrects the Fig. 3 caption to match the actual two-panel figure, and updates the figure labels to TIZ.</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user interacts with an unpowered magnetic microrobot on a tabletop workspace, while a robotic arm drives the microrobot indirectly through a permanent magnet placed below the surface. This layout preserves an active pursuit task for the user while avoiding rigid physical coupling between the robot and the human body. It places the user in a pursuit role rather than a passive following role, aligning the task with the need for active engagement in motor rehabilitation. We formulate the control problem as a reinforcement learning (RL) task in which the robot regulates interaction difficulty through the motion of the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microrobot and forms a physical barrier between the robotic arm and the user.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complete simulation-to-real workflow, from policy training in the pursuit-evasion simulator to camera-based observation construction and physical magnetic actuation. The acrylic sheet creates a fixed separation between the actuator and the user-side workspace, so the participant interacts only with the passive microrobot rather than with the robot arm. The microrobot is lightweight and unpowered, and commanded motion can be limited in software while the UR10 remains below the surface with its standard emergency stop available. The hardware also requires only a collaborative robot, a camera, a calibrated planar workspace, and a permanent magnet. It does not rely on wearable components, force sensors, onboard batteries, or custom actuators, which makes the setup easier to reproduce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closed-loop pursuit-evasion interaction on a flat workspace. The participant's hand acts as the pursuer, and the microrobot acts as a moving target driven by the robot arm beneath the acrylic surface. The participant attempts to approach and catch the microrobot, while the robot controls the microrobot motion to keep the task challenging but still reachable. This differs from static reaching because the target does not remain fixed after a movement is planned. The participant must continuously track, anticipate, and correct hand motion, making the task a sustained visuomotor exercise rather than an isolated point-to-point reach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user remains engaged without the task becoming trivial or unreachable.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delayed response or noisy motion, since purposeful movement and perturbation are not explicitly separated. These limitations motivate an RL formulation in which the controller optimizes a long-horizon ZPD objective under variable hand behavior rather than reacting only to the current hand-microrobot distance.</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workspace-boundary safety, and catch avoidance. Let d_t be the hand-microrobot distance,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hand-microrobot separation to remain inside the ZPD band and penalizes deviations on either side. The smoothness component r_smooth(a_t) discourages abrupt commanded motion. The boundary component r_bound(p_R,t) penalizes microrobot positions outside the valid workspace. The catch component r_catch(d_t) penalizes hand-microrobot contact.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hand behavior changes in both strategy and motor execution. Our approach treats this variability as a simulation problem, an observation problem, and a training-distribution problem. Cognitive-motor decoupled domain randomization broadens the simulated hand-behavior distribution by separating movement intent from motor-execution constraints. A dual-stream encoder makes hand-motion history available to the policy, while an auxiliary future-dynamics head adds a direct learning signal for short-horizon motion prediction. Iterative league training exposes the robot to a growing pool of hand policies so that the learned controller does not depend on one fixed virtual user.</w:t>
      </w:r>
    </w:p>
    <w:p>
      <w:pPr>
        <w:pStyle w:val="Heading2"/>
      </w:pPr>
      <w:r>
        <w:t>A. Cognitive-Motor Decoupled Domain Randomization</w:t>
      </w:r>
    </w:p>
    <w:p>
      <w:pPr>
        <w:ind w:firstLine="288"/>
        <w:jc w:val="both"/>
      </w:pPr>
      <w:r>
        <w:rPr>
          <w:rFonts w:ascii="Times New Roman" w:hAnsi="Times New Roman" w:eastAsia="Times New Roman"/>
          <w:b w:val="0"/>
          <w:sz w:val="20"/>
        </w:rPr>
        <w:t>Hand behavior varies in both intended pursuit strategy and execution accuracy. The proposed domain-randomization strategy models these sources of variability separately by generating intended hand motion first and then applying motor-execution constraints, observation noise, and temporal delay. At the strategy level, a hand policy sampled from the hand-policy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For the stochastic scripted pursuit controller, let ρ_ep denote the episode-level stride length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an ε-greedy pursuit rule.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this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motion inertia, as shown in (3).</w:t>
      </w:r>
    </w:p>
    <w:p>
      <w:pPr>
        <w:pStyle w:val="DisplayEquation"/>
        <w:spacing w:before="60" w:after="60"/>
        <w:jc w:val="center"/>
      </w:pPr>
      <m:oMathPara>
        <m:oMath>
          <m:sSub>
            <m:e>
              <m:r>
                <m:t xml:space="preserve">x</m:t>
              </m:r>
            </m:e>
            <m:sub>
              <m:r>
                <m:t xml:space="preserve">t</m:t>
              </m:r>
            </m:sub>
          </m:sSub>
          <m:r>
            <m:t xml:space="preserve"> = α</m:t>
          </m:r>
          <m:sSub>
            <m:e>
              <m:r>
                <m:t xml:space="preserve">x</m:t>
              </m:r>
            </m:e>
            <m:sub>
              <m:r>
                <m:t xml:space="preserve">t−1</m:t>
              </m:r>
            </m:sub>
          </m:sSub>
          <m:r>
            <m:t xml:space="preserve"> + (1−α)</m:t>
          </m:r>
          <m:sSub>
            <m:e>
              <m:r>
                <m:t xml:space="preserve">u</m:t>
              </m:r>
            </m:e>
            <m:sub>
              <m:r>
                <m:t xml:space="preserve">t</m:t>
              </m:r>
            </m:sub>
          </m:sSub>
          <m:r>
            <m:t xml:space="preserve">    (3)</m:t>
          </m:r>
        </m:oMath>
      </m:oMathPara>
    </w:p>
    <w:p>
      <w:pPr>
        <w:ind w:firstLine="288"/>
        <w:jc w:val="both"/>
      </w:pPr>
      <w:r>
        <w:rPr>
          <w:rFonts w:ascii="Times New Roman" w:hAnsi="Times New Roman" w:eastAsia="Times New Roman"/>
          <w:b w:val="0"/>
          <w:sz w:val="20"/>
        </w:rPr>
        <w:t>where u_t denotes the raw desired displacement, x_t denotes the filtered displacement, and alpha in (0,1) is the inertia coefficient. Acceleration clipping is then applied componentwise to limit abrupt changes in motion, as shown in (4).</w:t>
      </w:r>
    </w:p>
    <w:p>
      <w:pPr>
        <w:pStyle w:val="DisplayEquation"/>
        <w:spacing w:before="60" w:after="60"/>
        <w:jc w:val="center"/>
      </w:pPr>
      <m:oMathPara>
        <m:oMath>
          <m:r>
            <m:t xml:space="preserve">Δ</m:t>
          </m:r>
          <m:sSub>
            <m:e>
              <m:r>
                <m:t xml:space="preserve">x</m:t>
              </m:r>
            </m:e>
            <m:sub>
              <m:r>
                <m:t xml:space="preserve">t</m:t>
              </m:r>
            </m:sub>
          </m:sSub>
          <m:r>
            <m:t xml:space="preserve"> = clip(</m:t>
          </m:r>
          <m:sSub>
            <m:e>
              <m:r>
                <m:t xml:space="preserve">x</m:t>
              </m:r>
            </m:e>
            <m:sub>
              <m:r>
                <m:t xml:space="preserve">t</m:t>
              </m:r>
            </m:sub>
          </m:sSub>
          <m:r>
            <m:t xml:space="preserve">−</m:t>
          </m:r>
          <m:sSub>
            <m:e>
              <m:r>
                <m:t xml:space="preserve">x</m:t>
              </m:r>
            </m:e>
            <m:sub>
              <m:r>
                <m:t xml:space="preserve">t−1</m:t>
              </m:r>
            </m:sub>
          </m:sSub>
          <m:r>
            <m:t xml:space="preserve">, −</m:t>
          </m:r>
          <m:sSub>
            <m:e>
              <m:r>
                <m:t xml:space="preserve">a</m:t>
              </m:r>
            </m:e>
            <m:sub>
              <m:r>
                <m:t xml:space="preserve">max</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The delayed displacement is then applied to update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Δ</m:t>
          </m:r>
          <m:sSub>
            <m:e>
              <m:r>
                <m:t xml:space="preserve">x</m:t>
              </m:r>
            </m:e>
            <m:sub>
              <m:r>
                <m:t xml:space="preserve">t−δ</m:t>
              </m:r>
            </m:sub>
          </m:sSub>
          <m:r>
            <m:t xml:space="preserve"> + </m:t>
          </m:r>
          <m:sSub>
            <m:e>
              <m:r>
                <m:t xml:space="preserve">η</m:t>
              </m:r>
            </m:e>
            <m:sub>
              <m:r>
                <m:t xml:space="preserve">t</m:t>
              </m:r>
            </m:sub>
          </m:sSub>
          <m:r>
            <m:t xml:space="preserve">    (5)</m:t>
          </m:r>
        </m:oMath>
      </m:oMathPara>
    </w:p>
    <w:p>
      <w:pPr>
        <w:ind w:firstLine="288"/>
        <w:jc w:val="both"/>
      </w:pPr>
      <w:r>
        <w:rPr>
          <w:rFonts w:ascii="Times New Roman" w:hAnsi="Times New Roman" w:eastAsia="Times New Roman"/>
          <w:b w:val="0"/>
          <w:sz w:val="20"/>
        </w:rPr>
        <w:t>where delta is sampled from the delay range and eta_t is zero-mean Gaussian position noise with covariance sigma^2 I. The delay buffer advances at 8 Hz in the motor-execution layer, so the 0--3 frame range in Table I corresponds to 0--375 ms. Table I lists the values and sampled ranges used for these constraints. Through this decoupled design, the robot policy is exposed to plausible hand-motion variations without tying training to a single simulated hand model.</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However, the robot does not observe the underlying behavior model directly. It must infer behavior patterns from the current interaction state and recent hand motion. The current hand position alone cannot distinguish deliberate pursuit from sensing noise, motor delay,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Because future displacements are available from the rollout, this auxiliary task is self-supervised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full training objective combines the PPO loss with the auxiliary trajectory-prediction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where lambda_traj controls the auxiliary loss weight.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 hand-policy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training objective also differs from that of a purely competitive game. The robot should not simply learn to defeat the hand. It should maintain an appropriate level of challenge for users with different movement patterns. For this reason, the hand-policy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hand-policy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hand-policy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hand policies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hand-policy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A shorter episode usually means that the hand quickly catches the microrobot or forces early termination, indicating that the current robot policy has difficulty handling that pursuit pattern. This episode-length priority acts as a dynamic curriculum, directing robot training toward the hand policies that are currently most challenging.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(10).</w:t>
      </w:r>
    </w:p>
    <w:p>
      <w:pPr>
        <w:pStyle w:val="DisplayEquation"/>
        <w:spacing w:before="60" w:after="60"/>
        <w:jc w:val="center"/>
      </w:pPr>
      <m:oMathPara>
        <m:oMath>
          <m:sSub>
            <m:e>
              <m:r>
                <m:t xml:space="preserve">ℓ̄</m:t>
              </m:r>
            </m:e>
            <m:sub>
              <m:r>
                <m:t xml:space="preserve">ref</m:t>
              </m:r>
            </m:sub>
          </m:sSub>
          <m:r>
            <m:t xml:space="preserve"> = max_j </m:t>
          </m:r>
          <m:sSub>
            <m:e>
              <m:r>
                <m:t xml:space="preserve">ℓ̄</m:t>
              </m:r>
            </m:e>
            <m:sub>
              <m:r>
                <m:t xml:space="preserve">j</m:t>
              </m:r>
            </m:sub>
          </m:sSub>
          <m:r>
            <m:t xml:space="preserve">,  γ = </m:t>
          </m:r>
          <m:f>
            <m:fPr>
              <m:type m:val="bar"/>
            </m:fPr>
            <m:num>
              <m:sSub>
                <m:e>
                  <m:r>
                    <m:t xml:space="preserve">α</m:t>
                  </m:r>
                </m:e>
                <m:sub>
                  <m:r>
                    <m:t xml:space="preserve">PFSP</m:t>
                  </m:r>
                </m:sub>
              </m:sSub>
            </m:num>
            <m:den>
              <m:r>
                <m:t xml:space="preserve">τ</m:t>
              </m:r>
            </m:den>
          </m:f>
        </m:oMath>
      </m:oMathPara>
      <w:r>
        <w:br/>
      </w:r>
      <m:oMathPara>
        <m:oMath>
          <m:sSub>
            <m:e>
              <m:r>
                <m:t xml:space="preserve">s</m:t>
              </m:r>
            </m:e>
            <m:sub>
              <m:r>
                <m:t xml:space="preserve">i</m:t>
              </m:r>
            </m:sub>
          </m:sSub>
          <m:r>
            <m:t xml:space="preserve"> = </m:t>
          </m:r>
          <m:sSup>
            <m:e>
              <m:r>
                <m:t xml:space="preserve">(</m:t>
              </m:r>
              <m:f>
                <m:fPr>
                  <m:type m:val="bar"/>
                </m:fPr>
                <m:num>
                  <m:sSub>
                    <m:e>
                      <m:r>
                        <m:t xml:space="preserve">ℓ̄</m:t>
                      </m:r>
                    </m:e>
                    <m:sub>
                      <m:r>
                        <m:t xml:space="preserve">ref</m:t>
                      </m:r>
                    </m:sub>
                  </m:sSub>
                </m:num>
                <m:den>
                  <m:r>
                    <m:t xml:space="preserve">max(</m:t>
                  </m:r>
                  <m:sSub>
                    <m:e>
                      <m:r>
                        <m:t xml:space="preserve">ℓ̄</m:t>
                      </m:r>
                    </m:e>
                    <m:sub>
                      <m:r>
                        <m:t xml:space="preserve">i</m:t>
                      </m:r>
                    </m:sub>
                  </m:sSub>
                  <m:r>
                    <m:t xml:space="preserve">,1)</m:t>
                  </m:r>
                </m:den>
              </m:f>
              <m:r>
                <m:t xml:space="preserve">)</m:t>
              </m:r>
            </m:e>
            <m:sup>
              <m:r>
                <m:t xml:space="preserve">γ</m:t>
              </m:r>
            </m:sup>
          </m:sSup>
          <m:r>
            <m:t xml:space="preserve">,  </m:t>
          </m:r>
          <m:sSub>
            <m:e>
              <m:r>
                <m:t xml:space="preserve">r</m:t>
              </m:r>
            </m:e>
            <m:sub>
              <m:r>
                <m:t xml:space="preserve">i</m:t>
              </m:r>
            </m:sub>
          </m:sSub>
          <m:r>
            <m:t xml:space="preserve"> = </m:t>
          </m:r>
          <m:f>
            <m:fPr>
              <m:type m:val="bar"/>
            </m:fPr>
            <m:num>
              <m:sSub>
                <m:e>
                  <m:r>
                    <m:t xml:space="preserve">s</m:t>
                  </m:r>
                </m:e>
                <m:sub>
                  <m:r>
                    <m:t xml:space="preserve">i</m:t>
                  </m:r>
                </m:sub>
              </m:sSub>
            </m:num>
            <m:den>
              <m:r>
                <m:t xml:space="preserve">∑</m:t>
              </m:r>
              <m:sSub>
                <m:e>
                  <m:r>
                    <m:t xml:space="preserve">s</m:t>
                  </m:r>
                </m:e>
                <m:sub>
                  <m:r>
                    <m:t xml:space="preserve">j</m:t>
                  </m:r>
                </m:sub>
              </m:sSub>
            </m:den>
          </m:f>
        </m:oMath>
      </m:oMathPara>
      <w:r>
        <w:br/>
      </w:r>
      <m:oMathPara>
        <m:oMath>
          <m:sSub>
            <m:e>
              <m:r>
                <m:t xml:space="preserve">p̃</m:t>
              </m:r>
            </m:e>
            <m:sub>
              <m:r>
                <m:t xml:space="preserve">i</m:t>
              </m:r>
            </m:sub>
          </m:sSub>
          <m:r>
            <m:t xml:space="preserve"> = (1−μ)</m:t>
          </m:r>
          <m:sSub>
            <m:e>
              <m:r>
                <m:t xml:space="preserve">r</m:t>
              </m:r>
            </m:e>
            <m:sub>
              <m:r>
                <m:t xml:space="preserve">i</m:t>
              </m:r>
            </m:sub>
          </m:sSub>
          <m:r>
            <m:t xml:space="preserve"> + </m:t>
          </m:r>
          <m:f>
            <m:fPr>
              <m:type m:val="bar"/>
            </m:fPr>
            <m:num>
              <m:r>
                <m:t xml:space="preserve">μ</m:t>
              </m:r>
            </m:num>
            <m:den>
              <m:r>
                <m:t xml:space="preserve">m</m:t>
              </m:r>
            </m:den>
          </m:f>
          <m:r>
            <m:t xml:space="preserve">    (10)</m:t>
          </m:r>
        </m:oMath>
      </m:oMathPara>
    </w:p>
    <w:p>
      <w:pPr>
        <w:pStyle w:val="DisplayEquation"/>
        <w:spacing w:before="60" w:after="60"/>
        <w:jc w:val="center"/>
      </w:pPr>
      <m:oMathPara>
        <m:oMath>
          <m:r>
            <m:t xml:space="preserve">Pr(SPC) = </m:t>
          </m:r>
          <m:sSub>
            <m:e>
              <m:r>
                <m:t xml:space="preserve">p</m:t>
              </m:r>
            </m:e>
            <m:sub>
              <m:r>
                <m:t xml:space="preserve">SPC</m:t>
              </m:r>
            </m:sub>
          </m:sSub>
          <m:r>
            <m:t xml:space="preserve">,  Pr(</m:t>
          </m:r>
          <m:sSub>
            <m:e>
              <m:r>
                <m:t xml:space="preserve">H</m:t>
              </m:r>
            </m:e>
            <m:sub>
              <m:r>
                <m:t xml:space="preserve">i</m:t>
              </m:r>
            </m:sub>
          </m:sSub>
          <m:r>
            <m:t xml:space="preserve">) = (1−</m:t>
          </m:r>
          <m:sSub>
            <m:e>
              <m:r>
                <m:t xml:space="preserve">p</m:t>
              </m:r>
            </m:e>
            <m:sub>
              <m:r>
                <m:t xml:space="preserve">SPC</m:t>
              </m:r>
            </m:sub>
          </m:sSub>
          <m:r>
            <m:t xml:space="preserve">)</m:t>
          </m:r>
          <m:sSub>
            <m:e>
              <m:r>
                <m:t xml:space="preserve">p̃</m:t>
              </m:r>
            </m:e>
            <m:sub>
              <m:r>
                <m:t xml:space="preserve">i</m:t>
              </m:r>
            </m:sub>
          </m:sSub>
          <m:r>
            <m:t xml:space="preserve">    (11)</m:t>
          </m:r>
        </m:oMath>
      </m:oMathPara>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The PFSP coefficient alpha_PFSP is a sampling-priority exponent and is unrelated to the motor-inertia coefficient alpha in Table I.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hand-policy sampling rule is given in (11).</w:t>
      </w:r>
    </w:p>
    <w:p>
      <w:pPr>
        <w:pStyle w:val="DisplayEquation"/>
        <w:spacing w:before="60" w:after="60"/>
        <w:jc w:val="center"/>
      </w:pPr>
      <m:oMathPara>
        <m:oMath>
          <m:r>
            <m:t xml:space="preserve"/>
          </m:r>
        </m:oMath>
      </m:oMathPara>
    </w:p>
    <w:p>
      <w:pPr>
        <w:ind w:firstLine="288"/>
        <w:jc w:val="both"/>
      </w:pPr>
      <w:r>
        <w:rPr>
          <w:rFonts w:ascii="Times New Roman" w:hAnsi="Times New Roman" w:eastAsia="Times New Roman"/>
          <w:b w:val="0"/>
          <w:sz w:val="20"/>
        </w:rPr>
        <w:t>In implementation, the PFSP estimate uses a finite rolling window, a small uniform exploration mass, and a fixed SPC sampling probability. Keeping the SPC in the pool reduces the risk that the robot overfits to artifacts of learned hand policies, while PFSP concentrates learned-policy sampling on hand policies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hand-history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hand-behavior models introduced in Section III. The robot controlled the microrobot, while the hand trajectory was generated by one of three evaluation interfaces. The first was the stochastic scripted pursuit controller, the second was a trained hand policy, and the third was a manual mouse pursuit interface used for human-in-the-loop stress testing. The ZPD interval was fixed to 3.5-5.5 workspace units, and an interaction step was classified as in-zone when the Euclidean distance between the hand and the microrobot fell within this interval. The simulator and physical deployment use the same 15 x 10 planar coordinate frame, so one workspace unit corresponds to 1 cm in the calibrated physical workspace. Thus, the 3.5-5.5 workspace-unit ZPD maps to 3.5-5.5 cm in the physical rollout analysis.</w:t>
      </w:r>
    </w:p>
    <w:p>
      <w:pPr>
        <w:ind w:firstLine="288"/>
        <w:jc w:val="both"/>
      </w:pPr>
      <w:r>
        <w:rPr>
          <w:rFonts w:ascii="Times New Roman" w:hAnsi="Times New Roman" w:eastAsia="Times New Roman"/>
          <w:b w:val="0"/>
          <w:sz w:val="20"/>
        </w:rPr>
        <w:t>Time-In-Zone (TIZ)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is the fraction of evaluation episodes terminated by catch before the horizon. For league evaluation, robustness across learned hand policies was summarized using mean TIZ, worst-hand TIZ, and Conditional Value-at-Risk over the worst 20% of hand policies (CVaR20) of TIZ.</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asks whether an expanding hand-policy pool improves robustness across pursuit behaviors, rather than only improving performance against the most recent hand policy. After each robot generation is trained, it is evaluated against all learned hand generations in the pool. This cross-generation test separates generalization across hand behaviors from progress against a single training opponent.</w:t>
      </w:r>
    </w:p>
    <w:p>
      <w:pPr>
        <w:ind w:firstLine="288"/>
        <w:jc w:val="both"/>
      </w:pPr>
      <w:r>
        <w:rPr>
          <w:rFonts w:ascii="Times New Roman" w:hAnsi="Times New Roman" w:eastAsia="Times New Roman"/>
          <w:b w:val="0"/>
          <w:sz w:val="20"/>
        </w:rPr>
        <w:t>The cross-generation matrix in Fig. 3(a) fixes one robot generation per row and one learned hand generation per column. Early robot generations perform well only for limited parts of the hand pool, indicating sensitivity to the particular pursuit behavior used for training. Later generations maintain stronger TIZ over a broader set of learned hands, which suggests that league training reduces narrow specialization.</w:t>
      </w:r>
    </w:p>
    <w:p>
      <w:pPr>
        <w:ind w:firstLine="288"/>
        <w:jc w:val="both"/>
      </w:pPr>
      <w:r>
        <w:rPr>
          <w:rFonts w:ascii="Times New Roman" w:hAnsi="Times New Roman" w:eastAsia="Times New Roman"/>
          <w:b w:val="0"/>
          <w:sz w:val="20"/>
        </w:rPr>
        <w:t>The mean and worst-hand curves in Fig. 3(b) summarize average and difficult-case robustness across the learned-hand pool. The mean curve reflects typical performance, while the worst-hand curve tracks the most difficult learned hand for each robot generation. Both curves improve from early to final generations despite local fluctuations, showing that the final policy improves the typical interaction while also reducing the weakest-case failure.</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Cross-hand validation of league-trained robot policies under the ZPD 3.5-5.5 simulation setting. (a) TIZ matrix obtained by evaluating each robot generation against each learned hand generation. Rows correspond to robot generations, and columns correspond to learned hand generations. (b) Mean and worst-hand TIZ across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learned-hand pool used in Fig. 3. The final SPC-only, single-hand, and league-trained robot policies are tested against the stochastic scripted pursuit controller, a learned hand policy, and manual mouse pursuit. Manual mouse pursuit introduces human reaction time and voluntary pursuit strategy, so it is treated as a human-in-the-loop stress test rather than another automated hand policy.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w:t>
            </w:r>
          </w:p>
        </w:tc>
        <w:tc>
          <w:tcPr>
            <w:tcW w:type="dxa" w:w="2556"/>
            <w:vAlign w:val="center"/>
          </w:tcPr>
          <w:p>
            <w:pPr>
              <w:jc w:val="center"/>
            </w:pPr>
            <w:r>
              <w:rPr>
                <w:rFonts w:ascii="Times New Roman" w:hAnsi="Times New Roman" w:eastAsia="Times New Roman"/>
                <w:b w:val="0"/>
                <w:sz w:val="17"/>
              </w:rPr>
              <w:t>52</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31</w:t>
            </w:r>
          </w:p>
        </w:tc>
      </w:tr>
      <w:tr>
        <w:tc>
          <w:tcPr>
            <w:tcW w:type="dxa" w:w="2556"/>
            <w:vAlign w:val="center"/>
          </w:tcPr>
          <w:p>
            <w:pPr>
              <w:jc w:val="center"/>
            </w:pPr>
            <w:r>
              <w:rPr>
                <w:rFonts w:ascii="Times New Roman" w:hAnsi="Times New Roman" w:eastAsia="Times New Roman"/>
                <w:b w:val="0"/>
                <w:sz w:val="17"/>
              </w:rPr>
              <w:t>SPC-only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w:t>
            </w:r>
          </w:p>
        </w:tc>
        <w:tc>
          <w:tcPr>
            <w:tcW w:type="dxa" w:w="2556"/>
            <w:vAlign w:val="center"/>
          </w:tcPr>
          <w:p>
            <w:pPr>
              <w:jc w:val="center"/>
            </w:pPr>
            <w:r>
              <w:rPr>
                <w:rFonts w:ascii="Times New Roman" w:hAnsi="Times New Roman" w:eastAsia="Times New Roman"/>
                <w:b w:val="0"/>
                <w:sz w:val="17"/>
              </w:rPr>
              <w:t>33</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w:t>
            </w:r>
          </w:p>
        </w:tc>
        <w:tc>
          <w:tcPr>
            <w:tcW w:type="dxa" w:w="2556"/>
            <w:vAlign w:val="center"/>
          </w:tcPr>
          <w:p>
            <w:pPr>
              <w:jc w:val="center"/>
            </w:pPr>
            <w:r>
              <w:rPr>
                <w:rFonts w:ascii="Times New Roman" w:hAnsi="Times New Roman" w:eastAsia="Times New Roman"/>
                <w:b w:val="0"/>
                <w:sz w:val="17"/>
              </w:rPr>
              <w:t>25</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70</w:t>
            </w:r>
          </w:p>
        </w:tc>
      </w:tr>
      <w:tr>
        <w:tc>
          <w:tcPr>
            <w:tcW w:type="dxa" w:w="2556"/>
            <w:vAlign w:val="center"/>
          </w:tcPr>
          <w:p>
            <w:pPr>
              <w:jc w:val="center"/>
            </w:pPr>
            <w:r>
              <w:rPr>
                <w:rFonts w:ascii="Times New Roman" w:hAnsi="Times New Roman" w:eastAsia="Times New Roman"/>
                <w:b w:val="0"/>
                <w:sz w:val="17"/>
              </w:rPr>
              <w:t>Single-hand</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w:t>
            </w:r>
          </w:p>
        </w:tc>
        <w:tc>
          <w:tcPr>
            <w:tcW w:type="dxa" w:w="2556"/>
            <w:vAlign w:val="center"/>
          </w:tcPr>
          <w:p>
            <w:pPr>
              <w:jc w:val="center"/>
            </w:pPr>
            <w:r>
              <w:rPr>
                <w:rFonts w:ascii="Times New Roman" w:hAnsi="Times New Roman" w:eastAsia="Times New Roman"/>
                <w:b w:val="0"/>
                <w:sz w:val="17"/>
              </w:rPr>
              <w:t>40</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w:t>
            </w:r>
          </w:p>
        </w:tc>
        <w:tc>
          <w:tcPr>
            <w:tcW w:type="dxa" w:w="2556"/>
            <w:vAlign w:val="center"/>
          </w:tcPr>
          <w:p>
            <w:pPr>
              <w:jc w:val="center"/>
            </w:pPr>
            <w:r>
              <w:rPr>
                <w:rFonts w:ascii="Times New Roman" w:hAnsi="Times New Roman" w:eastAsia="Times New Roman"/>
                <w:b w:val="0"/>
                <w:sz w:val="17"/>
              </w:rPr>
              <w:t>67</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w:t>
            </w:r>
          </w:p>
        </w:tc>
        <w:tc>
          <w:tcPr>
            <w:tcW w:type="dxa" w:w="2556"/>
            <w:vAlign w:val="center"/>
          </w:tcPr>
          <w:p>
            <w:pPr>
              <w:jc w:val="center"/>
            </w:pPr>
            <w:r>
              <w:rPr>
                <w:rFonts w:ascii="Times New Roman" w:hAnsi="Times New Roman" w:eastAsia="Times New Roman"/>
                <w:b w:val="0"/>
                <w:sz w:val="17"/>
              </w:rPr>
              <w:t>64</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w:t>
            </w:r>
          </w:p>
        </w:tc>
        <w:tc>
          <w:tcPr>
            <w:tcW w:type="dxa" w:w="2556"/>
            <w:vAlign w:val="center"/>
          </w:tcPr>
          <w:p>
            <w:pPr>
              <w:jc w:val="center"/>
            </w:pPr>
            <w:r>
              <w:rPr>
                <w:rFonts w:ascii="Times New Roman" w:hAnsi="Times New Roman" w:eastAsia="Times New Roman"/>
                <w:b w:val="0"/>
                <w:sz w:val="17"/>
              </w:rPr>
              <w:t>74</w:t>
            </w:r>
          </w:p>
        </w:tc>
      </w:tr>
    </w:tbl>
    <w:p>
      <w:pPr>
        <w:ind w:firstLine="288"/>
        <w:jc w:val="both"/>
      </w:pPr>
      <w:r>
        <w:rPr>
          <w:rFonts w:ascii="Times New Roman" w:hAnsi="Times New Roman" w:eastAsia="Times New Roman"/>
          <w:b w:val="0"/>
          <w:sz w:val="20"/>
        </w:rPr>
        <w:t>Each value is reported as a mean over 50 evaluation episodes for each test condition. TIZ denotes the mean fraction of the full episode horizon spent in the ZPD, and Length denotes mean episode length in simulation steps. Standard deviations are omitted to keep the policy comparison compact.</w:t>
      </w:r>
    </w:p>
    <w:p>
      <w:pPr>
        <w:ind w:firstLine="288"/>
        <w:jc w:val="both"/>
      </w:pPr>
      <w:r>
        <w:rPr>
          <w:rFonts w:ascii="Times New Roman" w:hAnsi="Times New Roman" w:eastAsia="Times New Roman"/>
          <w:b w:val="0"/>
          <w:sz w:val="20"/>
        </w:rPr>
        <w:t>The two non-league baselines show complementary forms of specialization. The SPC-only robot remains most suitable for the scripted pursuit controller but degrades under learned and manual pursuit. The single-hand robot performs well against the learned hand policy but loses robustness when the pursuit behavior changes to scripted or manual control. The league-trained robot gives the most balanced profile across all three test sets, preserving learned-hand performance while improving the scripted and manual-pursuit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hand-motion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Temporal interaction history improves the learned controller beyond the MLP baseline. The GRU policy improves task quality relative to the feed-forward encoder, and the auxiliary GRU gives the strongest TIZ and workspace-coverage performance. The auxiliary prediction examples provide a diagnostic of the learned temporal representation. By predicting short-horizon hand displacement from the recurrent state, the auxiliary head trains the encoder through a self-supervised motion-prediction signal in addition to policy gradients. The auxiliary GRU also produces smoother control in the final evaluation.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 (c) visualizes representative auxiliary future-prediction examples. Panel (d) summarizes final task-quality metrics normalized to the MLP baseline.</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microrobot platform to evaluate zero-shot physical execution under real hand input. A healthy pilot pursued the microrobot on the acrylic workspace while the UR10 drove the magnetic actuator below the surface. The policy was transferred without physical fine-tuning. The physical data comprise nine zero-shot rollouts from the same pilot session. Across these rollouts, the camera and UR10 command loops operated near their target real-time rates, PPO inference required only a few milliseconds, and the image-to-control age remained within the range needed for online interaction.</w:t>
      </w:r>
    </w:p>
    <w:p>
      <w:pPr>
        <w:ind w:firstLine="288"/>
        <w:jc w:val="both"/>
      </w:pPr>
      <w:r>
        <w:rPr>
          <w:rFonts w:ascii="Times New Roman" w:hAnsi="Times New Roman" w:eastAsia="Times New Roman"/>
          <w:b w:val="0"/>
          <w:sz w:val="20"/>
        </w:rPr>
        <w:t>The implementation preserves the simulation observation layout without adding UR10 telemetry or end-effector pose to the learned-policy input. At each control step, the observation was constructed from calibrated camera measurements of the hand and microrobot, workspace-boundary features, the previous executed robot command, and recent relative hand-displacement history, matching the categories in (6) and (7). The deployment controller used RTDE pose readback only to execute and monitor Cartesian target commands over Ethernet, not as an additional policy observation.</w:t>
      </w:r>
    </w:p>
    <w:p>
      <w:pPr>
        <w:ind w:firstLine="288"/>
        <w:jc w:val="both"/>
      </w:pPr>
      <w:r>
        <w:rPr>
          <w:rFonts w:ascii="Times New Roman" w:hAnsi="Times New Roman" w:eastAsia="Times New Roman"/>
          <w:b w:val="0"/>
          <w:sz w:val="20"/>
        </w:rPr>
        <w:t>Tracking and calibration were handled by the camera-based perception stack. The microrobot was detected with the trained YOLO model, the hand was detected with MediaPipe-based hand tracking, and a homography calibration mapped image coordinates into the 15 x 10 cm workspace. When a new hand detection was not available, the controller used low-pass dead-reckoning from the last measured hand velocity until the next camera update. Safety constraints included workspace clipping of commanded targets, a maximum commanded target step of 0.6 cm, automatic stop-on-catch at a 1.5 cm distance threshold,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among the nine physical trials.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summarize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demonstrates that changes in human pursuit speed are reflected in the physical interaction and in the robot response during the same rollout. Thus, the deployment result verifies more than offline policy inference: it demonstrates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