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`methodology_ieee_v2.43_sim_protocol_rewrite.md`. This version polishes the real-time physical deployment prose while preserving the deployment details and observation-consistency claims.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It places the user in a pursuit role rather than a passive following role, aligning the task with the need for active engagement in motor rehabilitation. We formulate the control problem as a reinforcement learning (RL) task in which the robot regulates interaction difficulty through the motion of the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hand-microrobot separation to remain inside the ZPD band and penalizes deviations on either side. The smoothness component r_smooth(a_t) discourages abrupt commanded motion. The boundary component r_bound(p_R,t) penalizes microrobot positions outside the valid workspace. The catch component r_catch(d_t) penalizes hand-microrobot contact.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broadens the simulated hand-behavior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Hand behavior varies in both intended pursuit strategy and execution accuracy. The proposed domain-randomization strategy models these sources of variability separately by generating intended hand motion first and then applying motor-execution constraints, observation noise, and temporal delay. At the strategy level, a hand policy sampled from the hand-policy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For the stochastic scripted pursuit controller, let ρ_ep denote the episode-level stride length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an ε-greedy pursuit rule.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this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(3)</m:t>
          </m:r>
        </m:oMath>
      </m:oMathPara>
    </w:p>
    <w:p>
      <w:pPr>
        <w:ind w:firstLine="288"/>
        <w:jc w:val="both"/>
      </w:pPr>
      <w:r>
        <w:rPr>
          <w:rFonts w:ascii="Times New Roman" w:hAnsi="Times New Roman" w:eastAsia="Times New Roman"/>
          <w:b w:val="0"/>
          <w:sz w:val="20"/>
        </w:rPr>
        <w:t>where u_t denotes the raw desired displacement, x_t denotes the filtered displacement, and alpha in (0,1) is the inertia coefficient. Acceleration clipping is then applied componentwise to limit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(5)</m:t>
          </m:r>
        </m:oMath>
      </m:oMathPara>
    </w:p>
    <w:p>
      <w:pPr>
        <w:ind w:firstLine="288"/>
        <w:jc w:val="both"/>
      </w:pPr>
      <w:r>
        <w:rPr>
          <w:rFonts w:ascii="Times New Roman" w:hAnsi="Times New Roman" w:eastAsia="Times New Roman"/>
          <w:b w:val="0"/>
          <w:sz w:val="20"/>
        </w:rPr>
        <w:t>where delta is sampled from the delay range and eta_t is zero-mean Gaussian position noise with covariance sigma^2 I.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However,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task is self-supervised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 hand-policy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hand-policy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hand-policy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hand-policy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hand policies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hand-policy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A shorter episode usually means that the hand quickly catches the microrobot or forces early termination, indicating that the current robot policy has difficulty handling that pursuit pattern. This episode-length priority acts as a dynamic curriculum, directing robot training toward the hand policies that are currently most challenging.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hand-policy 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implementation, the PFSP estimate uses a finite rolling window, a small uniform exploration mass, and a fixed SPC sampling probability. Keeping the SPC in the pool reduces the risk that the robot overfits to artifacts of learned hand policies, while PFSP concentrates learned-policy sampling on hand policies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hand-policy pool improves robustness across pursuit behaviors. The ablation analysis tests whether temporal hand-motion encoding and the auxiliary dynamics objective improve the learned robot representation. Both analyses use the pursuit-evasion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ZPD definition. The target ZPD interval was fixed to 3.5-5.5 workspace units, and a timestep was counted as in-zone when the hand-microrobot distance fell within this interval. The simulator and the physical workspace share the same 15 x 10 planar coordinate frame, so one workspace unit corresponds to 1 cm after calibration. This convention maps the simulated ZPD interval directly to 3.5-5.5 cm in the physical rollout analysis.</w:t>
      </w:r>
    </w:p>
    <w:p>
      <w:pPr>
        <w:ind w:firstLine="288"/>
        <w:jc w:val="both"/>
      </w:pPr>
      <w:r>
        <w:rPr>
          <w:rFonts w:ascii="Times New Roman" w:hAnsi="Times New Roman" w:eastAsia="Times New Roman"/>
          <w:b w:val="0"/>
          <w:sz w:val="20"/>
        </w:rPr>
        <w:t>Time-In-Zone (TIZ) is the primary metric. It measures the fraction of the full episode horizon for which the hand-microrobot distance remains inside the ZPD interval. Episode length is reported in simulation steps and measures how long the interaction remains active before catch, workspace exit, or the maximum horizon. For the league analysis, cross-hand robustness is summarized by mean TIZ across learned hand policies and by worst-hand TIZ.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training-protocol comparison uses an SPC-only robot trained against the stochastic scripted pursuit controller, a single-hand robot trained against one learned hand policy, and a league-trained robot trained through iterative hand-pool expansion. These policies are evaluated through cross-generation learned-hand tests and through the scripted, learned, and manual hand interfaces used in Table II. The representation comparison keeps the training setting fixed while changing the policy encoder. The MLP baseline uses instantaneous geometry, the GRU policy adds recent relative hand displacement, and the auxiliary GRU policy adds the future-dynamics prediction objective.</w:t>
      </w:r>
    </w:p>
    <w:p>
      <w:pPr>
        <w:pStyle w:val="Heading2"/>
      </w:pPr>
      <w:r>
        <w:t>B. League Training and Cross-Hand Robustness</w:t>
      </w:r>
    </w:p>
    <w:p>
      <w:pPr>
        <w:ind w:firstLine="288"/>
        <w:jc w:val="both"/>
      </w:pPr>
      <w:r>
        <w:rPr>
          <w:rFonts w:ascii="Times New Roman" w:hAnsi="Times New Roman" w:eastAsia="Times New Roman"/>
          <w:b w:val="0"/>
          <w:sz w:val="20"/>
        </w:rPr>
        <w:t>The league evaluation asks whether an expanding hand-policy pool improves robustness across pursuit behaviors, rather than only improving performance against the most recent hand policy. After each robot generation is trained, it is evaluated against all learned hand generations in the pool. This cross-generation test separates generalization across hand behaviors from progress against a single training opponent.</w:t>
      </w:r>
    </w:p>
    <w:p>
      <w:pPr>
        <w:ind w:firstLine="288"/>
        <w:jc w:val="both"/>
      </w:pPr>
      <w:r>
        <w:rPr>
          <w:rFonts w:ascii="Times New Roman" w:hAnsi="Times New Roman" w:eastAsia="Times New Roman"/>
          <w:b w:val="0"/>
          <w:sz w:val="20"/>
        </w:rPr>
        <w:t>The cross-generation matrix in Fig. 3(a) fixes one robot generation per row and one learned hand generation per column. Early robot generations perform well only for limited parts of the hand pool, indicating sensitivity to the particular pursuit behavior used for training. Later generations maintain stronger TIZ over a broader set of learned hands, which suggests that league training reduces narrow specialization.</w:t>
      </w:r>
    </w:p>
    <w:p>
      <w:pPr>
        <w:ind w:firstLine="288"/>
        <w:jc w:val="both"/>
      </w:pPr>
      <w:r>
        <w:rPr>
          <w:rFonts w:ascii="Times New Roman" w:hAnsi="Times New Roman" w:eastAsia="Times New Roman"/>
          <w:b w:val="0"/>
          <w:sz w:val="20"/>
        </w:rPr>
        <w:t>The mean and worst-hand curves in Fig. 3(b) summarize average and difficult-case robustness across the learned-hand pool. The mean curve reflects typical performance, while the worst-hand curve tracks the most difficult learned hand for each robot generation. Both curves improve from early to final generations despite local fluctuations, showing that the final policy improves the typical interaction while also reducing the weakest-case failure.</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Cross-hand validation of league-trained robot policies under the ZPD 3.5-5.5 simulation setting. (a) TIZ matrix obtained by evaluating each robot generation against each learned hand generation. Rows correspond to robot generations, and columns correspond to learned hand generations. (b) Mean and worst-hand TIZ across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learned-hand pool used in Fig. 3. The final SPC-only, single-hand, and league-trained robot policies are tested against the stochastic scripted pursuit controller, a learned hand policy, and manual mouse pursuit. Manual mouse pursuit introduces human reaction time and voluntary pursuit strategy, so it is treated as a human-in-the-loop stress test rather than another automated hand policy.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w:t>
            </w:r>
          </w:p>
        </w:tc>
        <w:tc>
          <w:tcPr>
            <w:tcW w:type="dxa" w:w="2556"/>
            <w:vAlign w:val="center"/>
          </w:tcPr>
          <w:p>
            <w:pPr>
              <w:jc w:val="center"/>
            </w:pPr>
            <w:r>
              <w:rPr>
                <w:rFonts w:ascii="Times New Roman" w:hAnsi="Times New Roman" w:eastAsia="Times New Roman"/>
                <w:b w:val="0"/>
                <w:sz w:val="17"/>
              </w:rPr>
              <w:t>52</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31</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w:t>
            </w:r>
          </w:p>
        </w:tc>
        <w:tc>
          <w:tcPr>
            <w:tcW w:type="dxa" w:w="2556"/>
            <w:vAlign w:val="center"/>
          </w:tcPr>
          <w:p>
            <w:pPr>
              <w:jc w:val="center"/>
            </w:pPr>
            <w:r>
              <w:rPr>
                <w:rFonts w:ascii="Times New Roman" w:hAnsi="Times New Roman" w:eastAsia="Times New Roman"/>
                <w:b w:val="0"/>
                <w:sz w:val="17"/>
              </w:rPr>
              <w:t>33</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w:t>
            </w:r>
          </w:p>
        </w:tc>
        <w:tc>
          <w:tcPr>
            <w:tcW w:type="dxa" w:w="2556"/>
            <w:vAlign w:val="center"/>
          </w:tcPr>
          <w:p>
            <w:pPr>
              <w:jc w:val="center"/>
            </w:pPr>
            <w:r>
              <w:rPr>
                <w:rFonts w:ascii="Times New Roman" w:hAnsi="Times New Roman" w:eastAsia="Times New Roman"/>
                <w:b w:val="0"/>
                <w:sz w:val="17"/>
              </w:rPr>
              <w:t>25</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70</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40</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w:t>
            </w:r>
          </w:p>
        </w:tc>
        <w:tc>
          <w:tcPr>
            <w:tcW w:type="dxa" w:w="2556"/>
            <w:vAlign w:val="center"/>
          </w:tcPr>
          <w:p>
            <w:pPr>
              <w:jc w:val="center"/>
            </w:pPr>
            <w:r>
              <w:rPr>
                <w:rFonts w:ascii="Times New Roman" w:hAnsi="Times New Roman" w:eastAsia="Times New Roman"/>
                <w:b w:val="0"/>
                <w:sz w:val="17"/>
              </w:rPr>
              <w:t>67</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w:t>
            </w:r>
          </w:p>
        </w:tc>
        <w:tc>
          <w:tcPr>
            <w:tcW w:type="dxa" w:w="2556"/>
            <w:vAlign w:val="center"/>
          </w:tcPr>
          <w:p>
            <w:pPr>
              <w:jc w:val="center"/>
            </w:pPr>
            <w:r>
              <w:rPr>
                <w:rFonts w:ascii="Times New Roman" w:hAnsi="Times New Roman" w:eastAsia="Times New Roman"/>
                <w:b w:val="0"/>
                <w:sz w:val="17"/>
              </w:rPr>
              <w:t>64</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74</w:t>
            </w:r>
          </w:p>
        </w:tc>
      </w:tr>
    </w:tbl>
    <w:p>
      <w:pPr>
        <w:ind w:firstLine="288"/>
        <w:jc w:val="both"/>
      </w:pPr>
      <w:r>
        <w:rPr>
          <w:rFonts w:ascii="Times New Roman" w:hAnsi="Times New Roman" w:eastAsia="Times New Roman"/>
          <w:b w:val="0"/>
          <w:sz w:val="20"/>
        </w:rPr>
        <w:t>Each value is reported as a mean over 50 evaluation episodes for each test condition. TIZ denotes the mean fraction of the full episode horizon spent in the ZPD, and Length denotes mean episode length in simulation steps. Standard deviations are omitted to keep the policy comparison compact.</w:t>
      </w:r>
    </w:p>
    <w:p>
      <w:pPr>
        <w:ind w:firstLine="288"/>
        <w:jc w:val="both"/>
      </w:pPr>
      <w:r>
        <w:rPr>
          <w:rFonts w:ascii="Times New Roman" w:hAnsi="Times New Roman" w:eastAsia="Times New Roman"/>
          <w:b w:val="0"/>
          <w:sz w:val="20"/>
        </w:rPr>
        <w:t>The two non-league baselines show complementary forms of specialization. The SPC-only robot remains most suitable for the scripted pursuit controller but degrades under learned and manual pursuit. The single-hand robot performs well against the learned hand policy but loses robustness when the pursuit behavior changes to scripted or manual control. The league-trained robot gives the most balanced profile across all three test sets, preserving learned-hand performance while improving the scripted and manual-pursuit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The network ablation then tests whether the robot policy can use temporal hand-motion information once that diversity is present. The MLP baseline uses the instantaneous geometric state only. The GRU policy adds the 16-frame relative-displacement history, and the auxiliary GRU further adds the future-dynamics prediction head described in Section III.B.</w:t>
      </w:r>
    </w:p>
    <w:p>
      <w:pPr>
        <w:ind w:firstLine="288"/>
        <w:jc w:val="both"/>
      </w:pPr>
      <w:r>
        <w:rPr>
          <w:rFonts w:ascii="Times New Roman" w:hAnsi="Times New Roman" w:eastAsia="Times New Roman"/>
          <w:b w:val="0"/>
          <w:sz w:val="20"/>
        </w:rPr>
        <w:t>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short-horizon displacement generally follows the direction and curvature of the observed future hand motion, showing that the auxiliary head learns local motion dynamics rather than only reconstructing the current position.</w:t>
      </w:r>
    </w:p>
    <w:p>
      <w:pPr>
        <w:ind w:firstLine="288"/>
        <w:jc w:val="both"/>
      </w:pPr>
      <w:r>
        <w:rPr>
          <w:rFonts w:ascii="Times New Roman" w:hAnsi="Times New Roman" w:eastAsia="Times New Roman"/>
          <w:b w:val="0"/>
          <w:sz w:val="20"/>
        </w:rPr>
        <w:t>The final normalized metrics in Fig. 4(d) summarize the control effect of these representation changes. Recurrent history improves in-zone behavior and workspace coverage relative to the MLP baseline. Adding the auxiliary prediction objective further improves these task-quality metrics while reducing mean jerk. Together, the ablation indicates that both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auxiliary-head predictions of short-horizon hand displacement compared with observed future motion. (d) Final task-quality metrics normalized to the MLP baseline; higher values are better for in-zone time and workspace coverage, whereas lower values are better for mean jerk.</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microrobot platform to evaluate zero-shot execution with real hand input. In each rollout, a healthy pilot pursued the passive microrobot on the acrylic workspace while the UR10 moved the magnetic actuator beneath the surface. The policy was used without physical fine-tuning, and the physical dataset contains nine zero-shot rollouts from one pilot session. Across these trials, the camera and UR10 command loops operated close to their target rates, PPO inference required only a few milliseconds, and the measured image-to-control age supported online closed-loop interaction.</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workspace-boundary features, the previous executed robot command, and recent relative hand-displacement history, matching the categories in (6) and (7). UR10 telemetry and end-effector pose were not provided to the policy. RTDE pose readback was used only for Cartesian command execution and monitoring over Ethernet.</w:t>
      </w:r>
    </w:p>
    <w:p>
      <w:pPr>
        <w:ind w:firstLine="288"/>
        <w:jc w:val="both"/>
      </w:pPr>
      <w:r>
        <w:rPr>
          <w:rFonts w:ascii="Times New Roman" w:hAnsi="Times New Roman" w:eastAsia="Times New Roman"/>
          <w:b w:val="0"/>
          <w:sz w:val="20"/>
        </w:rPr>
        <w:t>Perception and calibration were handled by the camera-based tracking pipeline. The microrobot was detected with the trained YOLO model, the hand was detected with MediaPipe-based hand tracking, and a homography calibration mapped image coordinates into the 15 x 10 cm workspace. During short hand-tracking gaps,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The image sequence in Fig. 5(a) and the dynamic traces in Fig. 5(b) come from the same trial, so they describe a single time-aligned interaction rather than separate examples. The selected frames cover the initial approach, steady pursuit, faster and slower hand movements, and the end of the rollout. They show that camera perception, hand pursuit, microrobot motion, and UR10 actuation operated as one closed loop.</w:t>
      </w:r>
    </w:p>
    <w:p>
      <w:pPr>
        <w:ind w:firstLine="288"/>
        <w:jc w:val="both"/>
      </w:pPr>
      <w:r>
        <w:rPr>
          <w:rFonts w:ascii="Times New Roman" w:hAnsi="Times New Roman" w:eastAsia="Times New Roman"/>
          <w:b w:val="0"/>
          <w:sz w:val="20"/>
        </w:rPr>
        <w:t>The distance trace in Fig. 5(b) shows that the smoothed hand-microrobot distance remains near the target ZPD band for a substantial portion of the trial and returns toward this range after deviations. The controller therefore does not simply move the microrobot away from the hand or keep it static until catch.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hand- and robot-speed profiles support this interpretation. Changes in measured hand speed are reflected in the distance trace and in the robot-speed response during the same rollout. The deployment therefore evaluates the complete camera-policy-robot loop, rather than offline policy inference alone, and shows that the simulation-trained controller can sustain an online hand-microrobot interaction on the UR10 platform.</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