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`methodology_ieee_v2.28_physical_deployment.md`. This version updates the physical deployment result, restores five-figure numbering, and performs a first abbreviation and cross-reference pass.</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patient interacts with an unpowered magnetic microrobot on a tabletop workspace, while a robotic arm drives the microrobot indirectly through a permanent magnet placed below the surface. This layout preserves an active pursuit task for the patient while avoiding rigid physical coupling between the robot and the human body. We formulate the control problem as a reinforcement learning (RL) task in which the robot regulates interaction difficulty through the motion of the magnetic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magnetic microrobot and forms a physical barrier between the robotic arm and the patient.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The acrylic interface reduces risks associated with direct-contact devices, including impact, excessive traction, and local compression. The hardware also requires only a collaborative robot, a camera, and a permanent magnet. It does not rely on wearable components, force sensors, onboard batteries, or custom actuators. Passive magnetic actuation keeps the patient-side device lightweight and unpowered, which simplifies setup and limits the consequences of controller errors during development.</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formulate the rehabilitation task as a pursuit-evasion interaction on a flat workspace. The patient sits in front of the acrylic surface and uses one hand to chase the magnetic microrobot, which is controlled by the robot arm below. The task goal is to bring the hand within a small contact radius of the microrobot. Unlike static reaching exercises, the microrobot actively evades the patient's hand. The task therefore requires sustained visuomotor coordination rather than isolated point-to-point reaching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patient remains engaged without becoming fatigued or frustrated. Patient speed, pursuit strategy, response delay, and motor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tremor, delayed response, or bradykinesia, since purposeful movement and involuntary perturbation are not explicitly separated. These limitations motivate an RL formulation in which the controller optimizes a long-horizon ZPD objective under variable patient behavior rather than reacting only to the current hand-microrobot distance. In our formulation, the robot learns an evasion policy that is rewarded for keeping the interaction within the therapeutic range and penalized for unsafe or uninformative behavior, such as escaping too far or being caught too easily. The key challenge is to learn this policy without assuming a fixed or fully observable patient response model.</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patient behavior changes in both strategy and motor execution. Our approach treats this variability as a simulation problem, an observation problem, and a training-distribution problem. Cognitive-Motor Decoupled Domain Randomization (CMD-DR) broadens the simulated patient distribution by separating movement intent from biomechanical constraints. A dual-stream encoder makes patient motion history available to the policy, while an auxiliary future-dynamics head adds a direct learning signal for short-horizon hand-motion prediction. Iterative league training exposes the robot to a growing pool of hand policies so that the learned controller does not depend on one fixed virtual patient.</w:t>
      </w:r>
    </w:p>
    <w:p>
      <w:pPr>
        <w:pStyle w:val="Heading2"/>
      </w:pPr>
      <w:r>
        <w:t>A. Cognitive-Motor Decoupled Domain Randomization</w:t>
      </w:r>
    </w:p>
    <w:p>
      <w:pPr>
        <w:ind w:firstLine="288"/>
        <w:jc w:val="both"/>
      </w:pPr>
      <w:r>
        <w:rPr>
          <w:rFonts w:ascii="Times New Roman" w:hAnsi="Times New Roman" w:eastAsia="Times New Roman"/>
          <w:b w:val="0"/>
          <w:sz w:val="20"/>
        </w:rPr>
        <w:t>In rehabilitation settings, patients can differ both in how they choose to move and in how accurately they can execute those movements, making it difficult for a single model to capture all variations. CMD-DR separates these two sources of variability by generating intended hand motion first and then applying motor-execution constraints, observation noise, and temporal delay. At the strategy level, a hand policy sampled from the opponent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The SPC samples a stride rho_ep once per episode and uses it for the whole episode. At each timestep, it either moves toward the microrobot or makes a small random exploratory move. Its intended displacement is defined in (1).</w:t>
      </w:r>
    </w:p>
    <w:p>
      <w:pPr>
        <w:pStyle w:val="DisplayEquation"/>
        <w:spacing w:before="60" w:after="60"/>
        <w:jc w:val="center"/>
      </w:pPr>
      <w:r>
        <w:rPr>
          <w:rFonts w:ascii="Cambria Math" w:hAnsi="Cambria Math" w:eastAsia="Cambria Math"/>
          <w:sz w:val="20"/>
        </w:rPr>
        <w:t>u_t^{\mathrm{SPC}} = \rho_{\mathrm{ep}}\left[z_t \hat{\xi}_t + (1-z_t)\frac{p_{R,t}-p_{H,t}}{\|p_{R,t}-p_{H,t}\|_2}\right], \quad z_t \sim \mathrm{Bernoulli}(\epsilon). \tag{1}</w:t>
      </w:r>
    </w:p>
    <w:p>
      <w:pPr>
        <w:ind w:firstLine="288"/>
        <w:jc w:val="both"/>
      </w:pPr>
      <w:r>
        <w:rPr>
          <w:rFonts w:ascii="Times New Roman" w:hAnsi="Times New Roman" w:eastAsia="Times New Roman"/>
          <w:b w:val="0"/>
          <w:sz w:val="20"/>
        </w:rPr>
        <w:t>Here, p_R,t and p_H,t are the microrobot and hand positions, xi_hat_t is a normalized random direction, rho_ep is sampled from U(0.45, 0.70), and epsilon = 0.05. The learned hand policies replace (1) with their policy outputs, but the resulting intended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muscle inertia, as shown in (2).</w:t>
      </w:r>
    </w:p>
    <w:p>
      <w:pPr>
        <w:pStyle w:val="DisplayEquation"/>
        <w:spacing w:before="60" w:after="60"/>
        <w:jc w:val="center"/>
      </w:pPr>
      <w:r>
        <w:rPr>
          <w:rFonts w:ascii="Cambria Math" w:hAnsi="Cambria Math" w:eastAsia="Cambria Math"/>
          <w:sz w:val="20"/>
        </w:rPr>
        <w:t>x_t = \alpha x_{t-1} + (1-\alpha)u_t, \quad \alpha \in (0,1). \tag{2}</w:t>
      </w:r>
    </w:p>
    <w:p>
      <w:pPr>
        <w:ind w:firstLine="288"/>
        <w:jc w:val="both"/>
      </w:pPr>
      <w:r>
        <w:rPr>
          <w:rFonts w:ascii="Times New Roman" w:hAnsi="Times New Roman" w:eastAsia="Times New Roman"/>
          <w:b w:val="0"/>
          <w:sz w:val="20"/>
        </w:rPr>
        <w:t>where u_t denotes the raw desired displacement and x_t denotes the filtered displacement. Acceleration clipping then limits abrupt changes in motion, as shown in (3).</w:t>
      </w:r>
    </w:p>
    <w:p>
      <w:pPr>
        <w:pStyle w:val="DisplayEquation"/>
        <w:spacing w:before="60" w:after="60"/>
        <w:jc w:val="center"/>
      </w:pPr>
      <w:r>
        <w:rPr>
          <w:rFonts w:ascii="Cambria Math" w:hAnsi="Cambria Math" w:eastAsia="Cambria Math"/>
          <w:sz w:val="20"/>
        </w:rPr>
        <w:t>\Delta x_t = \mathrm{clip}\left(x_t-x_{t-1}, -a_{\max}, a_{\max}\right). \tag{3}</w:t>
      </w:r>
    </w:p>
    <w:p>
      <w:pPr>
        <w:ind w:firstLine="288"/>
        <w:jc w:val="both"/>
      </w:pPr>
      <w:r>
        <w:rPr>
          <w:rFonts w:ascii="Times New Roman" w:hAnsi="Times New Roman" w:eastAsia="Times New Roman"/>
          <w:b w:val="0"/>
          <w:sz w:val="20"/>
        </w:rPr>
        <w:t>Gaussian observation noise simulates position-estimation errors from the vision system. A sampled temporal delay models delayed motor response by executing a displacement generated several frames earlier. Table I lists the values and sampled ranges used for these constraints. Through this decoupled design, the robot policy is exposed to diverse patient-like behaviors without tying training to a single simulated hand model.</w:t>
      </w:r>
    </w:p>
    <w:p>
      <w:pPr>
        <w:pStyle w:val="IEEECaption"/>
        <w:jc w:val="center"/>
      </w:pPr>
      <w:r>
        <w:rPr>
          <w:rFonts w:ascii="Times New Roman" w:hAnsi="Times New Roman" w:eastAsia="Times New Roman"/>
          <w:b/>
          <w:sz w:val="18"/>
        </w:rPr>
        <w:t>TABLE I: CMD-DR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Muscle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U(0.01, 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but the robot does not observe the underlying behavior model directly. It must infer behavior patterns from the current interaction state and recent hand motion. The current hand position alone cannot distinguish deliberate pursuit from sensing noise, motor delay, tremor-like perturbations,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(4).</w:t>
      </w:r>
    </w:p>
    <w:p>
      <w:pPr>
        <w:pStyle w:val="DisplayEquation"/>
        <w:spacing w:before="60" w:after="60"/>
        <w:jc w:val="center"/>
      </w:pPr>
      <w:r>
        <w:rPr>
          <w:rFonts w:ascii="Cambria Math" w:hAnsi="Cambria Math" w:eastAsia="Cambria Math"/>
          <w:sz w:val="20"/>
        </w:rPr>
        <w:t>o_t = \left[s_t ; h_{t-T:t}\right]. \tag{4}</w:t>
      </w:r>
    </w:p>
    <w:p>
      <w:pPr>
        <w:ind w:firstLine="288"/>
        <w:jc w:val="both"/>
      </w:pPr>
      <w:r>
        <w:rPr>
          <w:rFonts w:ascii="Times New Roman" w:hAnsi="Times New Roman" w:eastAsia="Times New Roman"/>
          <w:b w:val="0"/>
          <w:sz w:val="20"/>
        </w:rPr>
        <w:t>The scalar component represents the instantaneous geometry of the interaction and is defined in (5).</w:t>
      </w:r>
    </w:p>
    <w:p>
      <w:pPr>
        <w:pStyle w:val="DisplayEquation"/>
        <w:spacing w:before="60" w:after="60"/>
        <w:jc w:val="center"/>
      </w:pPr>
      <w:r>
        <w:rPr>
          <w:rFonts w:ascii="Cambria Math" w:hAnsi="Cambria Math" w:eastAsia="Cambria Math"/>
          <w:sz w:val="20"/>
        </w:rPr>
        <w:t>s_t = \left[p_R; p_H; d(R,H); b_N,b_S,b_E,b_W; \mathrm{stride}; a_{t-1}\right]. \tag{5}</w:t>
      </w:r>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and estimates near-catch risk. Because future displacements and near-catch labels are available from the rollout, these auxiliary targets require no additional annotation.</w:t>
      </w:r>
    </w:p>
    <w:p>
      <w:pPr>
        <w:ind w:firstLine="288"/>
        <w:jc w:val="both"/>
      </w:pPr>
      <w:r>
        <w:rPr>
          <w:rFonts w:ascii="Times New Roman" w:hAnsi="Times New Roman" w:eastAsia="Times New Roman"/>
          <w:b w:val="0"/>
          <w:sz w:val="20"/>
        </w:rPr>
        <w:t>The trajectory prediction loss is given in (6).</w:t>
      </w:r>
    </w:p>
    <w:p>
      <w:pPr>
        <w:pStyle w:val="DisplayEquation"/>
        <w:spacing w:before="60" w:after="60"/>
        <w:jc w:val="center"/>
      </w:pPr>
      <w:r>
        <w:rPr>
          <w:rFonts w:ascii="Cambria Math" w:hAnsi="Cambria Math" w:eastAsia="Cambria Math"/>
          <w:sz w:val="20"/>
        </w:rPr>
        <w:t>L_{\mathrm{traj}} = \mathbb{E}\left[\left\|\hat{D}_{t+1:t+H}-D_{t+1:t+H}\right\|_2^2\right], \quad H=8. \tag{6}</w:t>
      </w:r>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risk prediction loss L_risk supervises the near-catch estimate. The full training objective combines the Proximal Policy Optimization (PPO) loss with the auxiliary trajectory and risk-prediction losses in (7).</w:t>
      </w:r>
    </w:p>
    <w:p>
      <w:pPr>
        <w:pStyle w:val="DisplayEquation"/>
        <w:spacing w:before="60" w:after="60"/>
        <w:jc w:val="center"/>
      </w:pPr>
      <w:r>
        <w:rPr>
          <w:rFonts w:ascii="Cambria Math" w:hAnsi="Cambria Math" w:eastAsia="Cambria Math"/>
          <w:sz w:val="20"/>
        </w:rPr>
        <w:t>L_{\mathrm{total}} = L_{\mathrm{PPO}} + \lambda_{\mathrm{traj}}L_{\mathrm{traj}} + \lambda_{\mathrm{risk}}L_{\mathrm{risk}}. \tag{7}</w:t>
      </w:r>
    </w:p>
    <w:p>
      <w:pPr>
        <w:ind w:firstLine="288"/>
        <w:jc w:val="both"/>
      </w:pPr>
      <w:r>
        <w:rPr>
          <w:rFonts w:ascii="Times New Roman" w:hAnsi="Times New Roman" w:eastAsia="Times New Roman"/>
          <w:b w:val="0"/>
          <w:sz w:val="20"/>
        </w:rPr>
        <w:t>where lambda_traj and lambda_risk control the auxiliary loss weights.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an opponent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rehabilitation objective also differs from that of a purely competitive game. The robot should not simply learn to defeat the hand. It should maintain an appropriate level of challenge for patients with different movement abilities. For this reason, the opponent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opponent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opponent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opponents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opponent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(8).</w:t>
      </w:r>
    </w:p>
    <w:p>
      <w:pPr>
        <w:pStyle w:val="DisplayEquation"/>
        <w:spacing w:before="60" w:after="60"/>
        <w:jc w:val="center"/>
      </w:pPr>
      <w:r>
        <w:rPr>
          <w:rFonts w:ascii="Cambria Math" w:hAnsi="Cambria Math" w:eastAsia="Cambria Math"/>
          <w:sz w:val="20"/>
        </w:rPr>
        <w:t>\bar{\ell}_{\mathrm{ref}} = \max_j \bar{\ell}_j, \quad \gamma = \frac{\alpha_{\mathrm{PFSP}}}{\tau},</w:t>
      </w:r>
    </w:p>
    <w:p>
      <w:pPr>
        <w:pStyle w:val="DisplayEquation"/>
        <w:spacing w:before="60" w:after="60"/>
        <w:jc w:val="center"/>
      </w:pPr>
      <w:r>
        <w:rPr>
          <w:rFonts w:ascii="Cambria Math" w:hAnsi="Cambria Math" w:eastAsia="Cambria Math"/>
          <w:sz w:val="20"/>
        </w:rPr>
        <w:t>s_i = \left(\frac{\bar{\ell}_{\mathrm{ref}}}{\max(\bar{\ell}_i,1)}\right)^\gamma, \quad r_i = \frac{s_i}{\sum_j s_j},</w:t>
      </w:r>
    </w:p>
    <w:p>
      <w:pPr>
        <w:pStyle w:val="DisplayEquation"/>
        <w:spacing w:before="60" w:after="60"/>
        <w:jc w:val="center"/>
      </w:pPr>
      <w:r>
        <w:rPr>
          <w:rFonts w:ascii="Cambria Math" w:hAnsi="Cambria Math" w:eastAsia="Cambria Math"/>
          <w:sz w:val="20"/>
        </w:rPr>
        <w:t>\tilde{p}_i = (1-\mu)r_i + \frac{\mu}{m}. \tag{8}</w:t>
      </w:r>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opponent-sampling rule is given in (9).</w:t>
      </w:r>
    </w:p>
    <w:p>
      <w:pPr>
        <w:pStyle w:val="DisplayEquation"/>
        <w:spacing w:before="60" w:after="60"/>
        <w:jc w:val="center"/>
      </w:pPr>
      <w:r>
        <w:rPr>
          <w:rFonts w:ascii="Cambria Math" w:hAnsi="Cambria Math" w:eastAsia="Cambria Math"/>
          <w:sz w:val="20"/>
        </w:rPr>
        <w:t>\Pr(\mathrm{SPC}) = p_{\mathrm{SPC}}, \quad \Pr(H_i) = (1-p_{\mathrm{SPC}})\tilde{p}_i. \tag{9}</w:t>
      </w:r>
    </w:p>
    <w:p>
      <w:pPr>
        <w:ind w:firstLine="288"/>
        <w:jc w:val="both"/>
      </w:pPr>
      <w:r>
        <w:rPr>
          <w:rFonts w:ascii="Times New Roman" w:hAnsi="Times New Roman" w:eastAsia="Times New Roman"/>
          <w:b w:val="0"/>
          <w:sz w:val="20"/>
        </w:rPr>
        <w:t>In our implementation, the rolling window contains 2000 episodes, alpha_PFSP = 1.0, tau = 1.0, mu = 0.05, and p_SPC = 0.20. Keeping the SPC in the pool reduces the risk that the robot overfits to artifacts of learned hand policies, while PFSP concentrates learned-policy sampling on opponents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patient-history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Simulation experiments were conducted in the pursuit-evasion environment described in Section II and instantiated with the patient-behavior models introduced in Section III. The robot controlled the magnetic microrobot, while the hand trajectory was generated by one of three evaluation interfaces. The first was the stochastic scripted pursuit controller, the second was a trained hand policy, and the third was a mouse-operated hand interface used for human-in-the-loop stress testing. The ZPD interval was fixed to 3.5-5.5 workspace units, and an interaction step was classified as in-zone when the Euclidean distance between the hand and the microrobot fell within this interval.</w:t>
      </w:r>
    </w:p>
    <w:p>
      <w:pPr>
        <w:ind w:firstLine="288"/>
        <w:jc w:val="both"/>
      </w:pPr>
      <w:r>
        <w:rPr>
          <w:rFonts w:ascii="Times New Roman" w:hAnsi="Times New Roman" w:eastAsia="Times New Roman"/>
          <w:b w:val="0"/>
          <w:sz w:val="20"/>
        </w:rPr>
        <w:t>Time-In-Zone (TIS)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measures the frequency with which the microrobot is reached too quickly. For league evaluation, robustness across learned hand policies was summarized using mean TIS, worst-hand TIS, and Conditional Value-at-Risk over the worst 20% of hand policies (CVaR20) of TIS.</w:t>
      </w:r>
    </w:p>
    <w:p>
      <w:pPr>
        <w:ind w:firstLine="288"/>
        <w:jc w:val="both"/>
      </w:pPr>
      <w:r>
        <w:rPr>
          <w:rFonts w:ascii="Times New Roman" w:hAnsi="Times New Roman" w:eastAsia="Times New Roman"/>
          <w:b w:val="0"/>
          <w:sz w:val="20"/>
        </w:rP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rPr>
          <w:rFonts w:ascii="Times New Roman" w:hAnsi="Times New Roman" w:eastAsia="Times New Roman"/>
          <w:b w:val="0"/>
          <w:sz w:val="20"/>
        </w:rPr>
        <w:t>The league evaluation tests whether opponent-pool training reduces the brittle specialization that can occur when the robot is optimized against a single hand model. The robot is trained for ten generations while the hand pool is expanded with learned hand policies.</w:t>
      </w:r>
    </w:p>
    <w:p>
      <w:pPr>
        <w:ind w:firstLine="288"/>
        <w:jc w:val="both"/>
      </w:pPr>
      <w:r>
        <w:rPr>
          <w:rFonts w:ascii="Times New Roman" w:hAnsi="Times New Roman" w:eastAsia="Times New Roman"/>
          <w:b w:val="0"/>
          <w:sz w:val="20"/>
        </w:rPr>
        <w:t>League training improves both average behavior and difficult-case behavior, as shown in Fig. 3. The cross-iteration validation matrix evaluates each robot generation against each learned hand policy. Earlier learned hand policies remain comparatively easy to regulate, whereas later policies introduce pursuit strategies that are harder for narrow training regimes. Later robot generations improve across a broader portion of this matrix, indicating that the league does not merely produce a policy that performs well on the final learned hand policy.</w:t>
      </w:r>
    </w:p>
    <w:p>
      <w:pPr>
        <w:ind w:firstLine="288"/>
        <w:jc w:val="both"/>
      </w:pPr>
      <w:r>
        <w:rPr>
          <w:rFonts w:ascii="Times New Roman" w:hAnsi="Times New Roman" w:eastAsia="Times New Roman"/>
          <w:b w:val="0"/>
          <w:sz w:val="20"/>
        </w:rPr>
        <w:t>Lower-tail robustness is particularly important for rehabilitation. Mean TIS improves across generations, but worst-hand TIS and CVaR20 also improve. A controller that raises only the average score could still fail for patients with more difficult movement patterns. The frontier view shows that later robot generations move toward policies that retain useful ZPD regulation even on harder hand policies.</w:t>
      </w:r>
    </w:p>
    <w:p>
      <w:pPr>
        <w:ind w:firstLine="288"/>
        <w:jc w:val="both"/>
      </w:pPr>
      <w:r>
        <w:rPr>
          <w:rFonts w:ascii="Times New Roman" w:hAnsi="Times New Roman" w:eastAsia="Times New Roman"/>
          <w:b w:val="0"/>
          <w:sz w:val="20"/>
        </w:rPr>
        <w:t>The final-generation results clarify the remaining failure modes. Some hand policies still create episodes that become too close, while others push the robot toward too-far interactions. Separating these modes matters because both reduce therapeutic value for different reasons. Too-close interactions make the task too easy, while too-far interactions make the task discouraging or unreachable. The league policy maintains useful ZPD coverage despite these different failure patterns, suggesting that the learned behavior is balanced rather than tuned to one type of opponent.</w:t>
      </w:r>
    </w:p>
    <w:p>
      <w:pPr>
        <w:ind w:firstLine="288"/>
        <w:jc w:val="both"/>
      </w:pPr>
      <w:r>
        <w:rPr>
          <w:rFonts w:ascii="Times New Roman" w:hAnsi="Times New Roman" w:eastAsia="Times New Roman"/>
          <w:b w:val="0"/>
          <w:sz w:val="20"/>
        </w:rPr>
        <w:t>The PFSP sampling traces link this balanced performance to the curriculum induced by opponent sampling. Sampling probability shifts toward learned hand policies that remain challenging for the current robot generation, while the uniform mixture and fixed SPC probability keep earlier and rule-based pursuit behaviors available. As the league evolves, difficult learned opponents receive more attention without removing simpler pursuit behavior from the training distribution.</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League-training validation and opponent-sampling dynamics for the no-opponent-ID ZPD 3.5-5.5 simulation. (a) Cross-iteration TIS matrix between robot generations and learned hand generations. (b) Mean, worst-hand, and CVaR20 TIS across robot generations. (c) Robustness frontier relating mean TIS, worst-hand TIS, and CVaR20. (d) Final-generation failure decomposition showing too-close rate, too-far rate, and ZPD coverage across test hands. (e) PFSP sampling-probability snapshots during selected training iterations.</w:t>
      </w:r>
    </w:p>
    <w:p>
      <w:pPr>
        <w:ind w:firstLine="288"/>
        <w:jc w:val="both"/>
      </w:pPr>
      <w:r>
        <w:rPr>
          <w:rFonts w:ascii="Times New Roman" w:hAnsi="Times New Roman" w:eastAsia="Times New Roman"/>
          <w:b w:val="0"/>
          <w:sz w:val="20"/>
        </w:rPr>
        <w:t>Policy comparison across three hand test sets provides a stricter test of specialization. The final SPC-only, single-hand, and league-trained robot policies are evaluated against the SPC, a learned hand policy, and a mouse-controlled hand. The mouse-controlled condition introduces human reaction time and voluntary pursuit strategy, so it is interpreted as a human-in-the-loop stress test rather than another automated opponent.</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EDEDED"/>
          </w:tcPr>
          <w:p>
            <w:pPr>
              <w:jc w:val="center"/>
            </w:pPr>
            <w:r>
              <w:rPr>
                <w:rFonts w:ascii="Times New Roman" w:hAnsi="Times New Roman" w:eastAsia="Times New Roman"/>
                <w:b/>
                <w:sz w:val="17"/>
              </w:rPr>
              <w:t>Robot policy</w:t>
            </w:r>
          </w:p>
        </w:tc>
        <w:tc>
          <w:tcPr>
            <w:tcW w:type="dxa" w:w="1704"/>
            <w:vAlign w:val="center"/>
            <w:shd w:fill="EDEDED"/>
          </w:tcPr>
          <w:p>
            <w:pPr>
              <w:jc w:val="center"/>
            </w:pPr>
            <w:r>
              <w:rPr>
                <w:rFonts w:ascii="Times New Roman" w:hAnsi="Times New Roman" w:eastAsia="Times New Roman"/>
                <w:b/>
                <w:sz w:val="17"/>
              </w:rPr>
              <w:t>Test set</w:t>
            </w:r>
          </w:p>
        </w:tc>
        <w:tc>
          <w:tcPr>
            <w:tcW w:type="dxa" w:w="1704"/>
            <w:vAlign w:val="center"/>
            <w:shd w:fill="EDEDED"/>
          </w:tcPr>
          <w:p>
            <w:pPr>
              <w:jc w:val="center"/>
            </w:pPr>
            <w:r>
              <w:rPr>
                <w:rFonts w:ascii="Times New Roman" w:hAnsi="Times New Roman" w:eastAsia="Times New Roman"/>
                <w:b/>
                <w:sz w:val="17"/>
              </w:rPr>
              <w:t>TIS</w:t>
            </w:r>
          </w:p>
        </w:tc>
        <w:tc>
          <w:tcPr>
            <w:tcW w:type="dxa" w:w="1704"/>
            <w:vAlign w:val="center"/>
            <w:shd w:fill="EDEDED"/>
          </w:tcPr>
          <w:p>
            <w:pPr>
              <w:jc w:val="center"/>
            </w:pPr>
            <w:r>
              <w:rPr>
                <w:rFonts w:ascii="Times New Roman" w:hAnsi="Times New Roman" w:eastAsia="Times New Roman"/>
                <w:b/>
                <w:sz w:val="17"/>
              </w:rPr>
              <w:t>ZPD coverage</w:t>
            </w:r>
          </w:p>
        </w:tc>
        <w:tc>
          <w:tcPr>
            <w:tcW w:type="dxa" w:w="1704"/>
            <w:vAlign w:val="center"/>
            <w:shd w:fill="EDEDED"/>
          </w:tcPr>
          <w:p>
            <w:pPr>
              <w:jc w:val="center"/>
            </w:pPr>
            <w:r>
              <w:rPr>
                <w:rFonts w:ascii="Times New Roman" w:hAnsi="Times New Roman" w:eastAsia="Times New Roman"/>
                <w:b/>
                <w:sz w:val="17"/>
              </w:rPr>
              <w:t>Episode length</w:t>
            </w:r>
          </w:p>
        </w:tc>
        <w:tc>
          <w:tcPr>
            <w:tcW w:type="dxa" w:w="1704"/>
            <w:vAlign w:val="center"/>
            <w:shd w:fill="EDEDED"/>
          </w:tcPr>
          <w:p>
            <w:pPr>
              <w:jc w:val="center"/>
            </w:pPr>
            <w:r>
              <w:rPr>
                <w:rFonts w:ascii="Times New Roman" w:hAnsi="Times New Roman" w:eastAsia="Times New Roman"/>
                <w:b/>
                <w:sz w:val="17"/>
              </w:rPr>
              <w:t>Catch rate</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0.31</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52</w:t>
            </w:r>
          </w:p>
        </w:tc>
        <w:tc>
          <w:tcPr>
            <w:tcW w:type="dxa" w:w="1704"/>
            <w:vAlign w:val="center"/>
          </w:tcPr>
          <w:p>
            <w:pPr>
              <w:jc w:val="center"/>
            </w:pPr>
            <w:r>
              <w:rPr>
                <w:rFonts w:ascii="Times New Roman" w:hAnsi="Times New Roman" w:eastAsia="Times New Roman"/>
                <w:b w:val="0"/>
                <w:sz w:val="17"/>
              </w:rPr>
              <w:t>60%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31</w:t>
            </w:r>
          </w:p>
        </w:tc>
        <w:tc>
          <w:tcPr>
            <w:tcW w:type="dxa" w:w="1704"/>
            <w:vAlign w:val="center"/>
          </w:tcPr>
          <w:p>
            <w:pPr>
              <w:jc w:val="center"/>
            </w:pPr>
            <w:r>
              <w:rPr>
                <w:rFonts w:ascii="Times New Roman" w:hAnsi="Times New Roman" w:eastAsia="Times New Roman"/>
                <w:b w:val="0"/>
                <w:sz w:val="17"/>
              </w:rPr>
              <w:t>90%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0.14</w:t>
            </w:r>
          </w:p>
        </w:tc>
        <w:tc>
          <w:tcPr>
            <w:tcW w:type="dxa" w:w="1704"/>
            <w:vAlign w:val="center"/>
          </w:tcPr>
          <w:p>
            <w:pPr>
              <w:jc w:val="center"/>
            </w:pPr>
            <w:r>
              <w:rPr>
                <w:rFonts w:ascii="Times New Roman" w:hAnsi="Times New Roman" w:eastAsia="Times New Roman"/>
                <w:b w:val="0"/>
                <w:sz w:val="17"/>
              </w:rPr>
              <w:t>0.50</w:t>
            </w:r>
          </w:p>
        </w:tc>
        <w:tc>
          <w:tcPr>
            <w:tcW w:type="dxa" w:w="1704"/>
            <w:vAlign w:val="center"/>
          </w:tcPr>
          <w:p>
            <w:pPr>
              <w:jc w:val="center"/>
            </w:pPr>
            <w:r>
              <w:rPr>
                <w:rFonts w:ascii="Times New Roman" w:hAnsi="Times New Roman" w:eastAsia="Times New Roman"/>
                <w:b w:val="0"/>
                <w:sz w:val="17"/>
              </w:rPr>
              <w:t>33</w:t>
            </w:r>
          </w:p>
        </w:tc>
        <w:tc>
          <w:tcPr>
            <w:tcW w:type="dxa" w:w="1704"/>
            <w:vAlign w:val="center"/>
          </w:tcPr>
          <w:p>
            <w:pPr>
              <w:jc w:val="center"/>
            </w:pPr>
            <w:r>
              <w:rPr>
                <w:rFonts w:ascii="Times New Roman" w:hAnsi="Times New Roman" w:eastAsia="Times New Roman"/>
                <w:b w:val="0"/>
                <w:sz w:val="17"/>
              </w:rPr>
              <w:t>100%</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0.11</w:t>
            </w:r>
          </w:p>
        </w:tc>
        <w:tc>
          <w:tcPr>
            <w:tcW w:type="dxa" w:w="1704"/>
            <w:vAlign w:val="center"/>
          </w:tcPr>
          <w:p>
            <w:pPr>
              <w:jc w:val="center"/>
            </w:pPr>
            <w:r>
              <w:rPr>
                <w:rFonts w:ascii="Times New Roman" w:hAnsi="Times New Roman" w:eastAsia="Times New Roman"/>
                <w:b w:val="0"/>
                <w:sz w:val="17"/>
              </w:rPr>
              <w:t>0.41</w:t>
            </w:r>
          </w:p>
        </w:tc>
        <w:tc>
          <w:tcPr>
            <w:tcW w:type="dxa" w:w="1704"/>
            <w:vAlign w:val="center"/>
          </w:tcPr>
          <w:p>
            <w:pPr>
              <w:jc w:val="center"/>
            </w:pPr>
            <w:r>
              <w:rPr>
                <w:rFonts w:ascii="Times New Roman" w:hAnsi="Times New Roman" w:eastAsia="Times New Roman"/>
                <w:b w:val="0"/>
                <w:sz w:val="17"/>
              </w:rPr>
              <w:t>25</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0.60</w:t>
            </w:r>
          </w:p>
        </w:tc>
        <w:tc>
          <w:tcPr>
            <w:tcW w:type="dxa" w:w="1704"/>
            <w:vAlign w:val="center"/>
          </w:tcPr>
          <w:p>
            <w:pPr>
              <w:jc w:val="center"/>
            </w:pPr>
            <w:r>
              <w:rPr>
                <w:rFonts w:ascii="Times New Roman" w:hAnsi="Times New Roman" w:eastAsia="Times New Roman"/>
                <w:b w:val="0"/>
                <w:sz w:val="17"/>
              </w:rPr>
              <w:t>70</w:t>
            </w:r>
          </w:p>
        </w:tc>
        <w:tc>
          <w:tcPr>
            <w:tcW w:type="dxa" w:w="1704"/>
            <w:vAlign w:val="center"/>
          </w:tcPr>
          <w:p>
            <w:pPr>
              <w:jc w:val="center"/>
            </w:pPr>
            <w:r>
              <w:rPr>
                <w:rFonts w:ascii="Times New Roman" w:hAnsi="Times New Roman" w:eastAsia="Times New Roman"/>
                <w:b w:val="0"/>
                <w:sz w:val="17"/>
              </w:rPr>
              <w:t>38%</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40</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0.38</w:t>
            </w:r>
          </w:p>
        </w:tc>
        <w:tc>
          <w:tcPr>
            <w:tcW w:type="dxa" w:w="1704"/>
            <w:vAlign w:val="center"/>
          </w:tcPr>
          <w:p>
            <w:pPr>
              <w:jc w:val="center"/>
            </w:pPr>
            <w:r>
              <w:rPr>
                <w:rFonts w:ascii="Times New Roman" w:hAnsi="Times New Roman" w:eastAsia="Times New Roman"/>
                <w:b w:val="0"/>
                <w:sz w:val="17"/>
              </w:rPr>
              <w:t>0.55</w:t>
            </w:r>
          </w:p>
        </w:tc>
        <w:tc>
          <w:tcPr>
            <w:tcW w:type="dxa" w:w="1704"/>
            <w:vAlign w:val="center"/>
          </w:tcPr>
          <w:p>
            <w:pPr>
              <w:jc w:val="center"/>
            </w:pPr>
            <w:r>
              <w:rPr>
                <w:rFonts w:ascii="Times New Roman" w:hAnsi="Times New Roman" w:eastAsia="Times New Roman"/>
                <w:b w:val="0"/>
                <w:sz w:val="17"/>
              </w:rPr>
              <w:t>67</w:t>
            </w:r>
          </w:p>
        </w:tc>
        <w:tc>
          <w:tcPr>
            <w:tcW w:type="dxa" w:w="1704"/>
            <w:vAlign w:val="center"/>
          </w:tcPr>
          <w:p>
            <w:pPr>
              <w:jc w:val="center"/>
            </w:pPr>
            <w:r>
              <w:rPr>
                <w:rFonts w:ascii="Times New Roman" w:hAnsi="Times New Roman" w:eastAsia="Times New Roman"/>
                <w:b w:val="0"/>
                <w:sz w:val="17"/>
              </w:rPr>
              <w:t>43%</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0.65</w:t>
            </w:r>
          </w:p>
        </w:tc>
        <w:tc>
          <w:tcPr>
            <w:tcW w:type="dxa" w:w="1704"/>
            <w:vAlign w:val="center"/>
          </w:tcPr>
          <w:p>
            <w:pPr>
              <w:jc w:val="center"/>
            </w:pPr>
            <w:r>
              <w:rPr>
                <w:rFonts w:ascii="Times New Roman" w:hAnsi="Times New Roman" w:eastAsia="Times New Roman"/>
                <w:b w:val="0"/>
                <w:sz w:val="17"/>
              </w:rPr>
              <w:t>64</w:t>
            </w:r>
          </w:p>
        </w:tc>
        <w:tc>
          <w:tcPr>
            <w:tcW w:type="dxa" w:w="1704"/>
            <w:vAlign w:val="center"/>
          </w:tcPr>
          <w:p>
            <w:pPr>
              <w:jc w:val="center"/>
            </w:pPr>
            <w:r>
              <w:rPr>
                <w:rFonts w:ascii="Times New Roman" w:hAnsi="Times New Roman" w:eastAsia="Times New Roman"/>
                <w:b w:val="0"/>
                <w:sz w:val="17"/>
              </w:rPr>
              <w:t>48%</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0.66</w:t>
            </w:r>
          </w:p>
        </w:tc>
        <w:tc>
          <w:tcPr>
            <w:tcW w:type="dxa" w:w="1704"/>
            <w:vAlign w:val="center"/>
          </w:tcPr>
          <w:p>
            <w:pPr>
              <w:jc w:val="center"/>
            </w:pPr>
            <w:r>
              <w:rPr>
                <w:rFonts w:ascii="Times New Roman" w:hAnsi="Times New Roman" w:eastAsia="Times New Roman"/>
                <w:b w:val="0"/>
                <w:sz w:val="17"/>
              </w:rPr>
              <w:t>74</w:t>
            </w:r>
          </w:p>
        </w:tc>
        <w:tc>
          <w:tcPr>
            <w:tcW w:type="dxa" w:w="1704"/>
            <w:vAlign w:val="center"/>
          </w:tcPr>
          <w:p>
            <w:pPr>
              <w:jc w:val="center"/>
            </w:pPr>
            <w:r>
              <w:rPr>
                <w:rFonts w:ascii="Times New Roman" w:hAnsi="Times New Roman" w:eastAsia="Times New Roman"/>
                <w:b w:val="0"/>
                <w:sz w:val="17"/>
              </w:rPr>
              <w:t>60%</w:t>
            </w:r>
          </w:p>
        </w:tc>
      </w:tr>
    </w:tbl>
    <w:p>
      <w:pPr>
        <w:ind w:firstLine="288"/>
        <w:jc w:val="both"/>
      </w:pPr>
      <w:r>
        <w:rPr>
          <w:rFonts w:ascii="Times New Roman" w:hAnsi="Times New Roman" w:eastAsia="Times New Roman"/>
          <w:b w:val="0"/>
          <w:sz w:val="20"/>
        </w:rPr>
        <w:t>Training against a narrow hand model leads to complementary failure modes across the three test sets. The SPC-only robot remains competitive against the SPC but is caught frequently by the learned and mouse-controlled hands, indicating that rule-based pursuit during training does not cover strategic or human-controlled pursuit behavior. The single-hand robot shows the reverse failure. It performs well against the learned hand policy but degrades sharply against the SPC and mouse-controlled hands.</w:t>
      </w:r>
    </w:p>
    <w:p>
      <w:pPr>
        <w:ind w:firstLine="288"/>
        <w:jc w:val="both"/>
      </w:pPr>
      <w:r>
        <w:rPr>
          <w:rFonts w:ascii="Times New Roman" w:hAnsi="Times New Roman" w:eastAsia="Times New Roman"/>
          <w:b w:val="0"/>
          <w:sz w:val="20"/>
        </w:rPr>
        <w:t>The league-trained robot is not the best on every scalar metric, but it avoids the severe cross-condition collapse seen in the baselines. Its strongest relative advantage appears under mouse-controlled pursuit, where it produces longer interactions with higher TIS and ZPD coverage while reducing the catch rate from near saturation to 60%. For adaptive rehabilitation, this balanced performance is more important than optimizing a single test condition, because patient behavior can shift across controllers, sessions, and voluntary strategies. The mouse-controlled result remains a stress test rather than a clinical validation, but it provides additional human-in-the-loop evidence that the league policy is more robust to hand behavior outside a single scripted or learned controller.</w:t>
      </w:r>
    </w:p>
    <w:p>
      <w:pPr>
        <w:pStyle w:val="Heading2"/>
      </w:pPr>
      <w:r>
        <w:t>C. Network Ablation and Auxiliary Dynamics Analysis</w:t>
      </w:r>
    </w:p>
    <w:p>
      <w:pPr>
        <w:ind w:firstLine="288"/>
        <w:jc w:val="both"/>
      </w:pPr>
      <w:r>
        <w:rPr>
          <w:rFonts w:ascii="Times New Roman" w:hAnsi="Times New Roman" w:eastAsia="Times New Roman"/>
          <w:b w:val="0"/>
          <w:sz w:val="20"/>
        </w:rPr>
        <w:t>Opponent diversity alone does not determine whether the robot can use the information available in each observation. The ablation study asks whether the robot can regulate difficulty from the current geometric state alone, or whether it needs recent patient-motion history. The MLP baseline observes the current geometric state but does not explicitly encode recent interaction history. The GRU policy processes the 16-frame relative-displacement buffer, allowing it to infer hand velocity, response delay, and pursuit tendency. The auxiliary GRU policy further adds the future-dynamics prediction head described in Section III.B.</w:t>
      </w:r>
    </w:p>
    <w:p>
      <w:pPr>
        <w:ind w:firstLine="288"/>
        <w:jc w:val="both"/>
      </w:pPr>
      <w:r>
        <w:rPr>
          <w:rFonts w:ascii="Times New Roman" w:hAnsi="Times New Roman" w:eastAsia="Times New Roman"/>
          <w:b w:val="0"/>
          <w:sz w:val="20"/>
        </w:rPr>
        <w:t>The main performance gain appears when temporal interaction history is introduced, as shown in Fig. 4. Both recurrent policies learn longer and more rewarding interactions than the MLP baseline, indicating that the robot benefits from observing how the hand has been moving. In this run, the GRU policy without auxiliary supervision and the auxiliary GRU policy follow similar aggregate learning trends, so temporal sequence modeling is the dominant contributor to control performance.</w:t>
      </w:r>
    </w:p>
    <w:p>
      <w:pPr>
        <w:ind w:firstLine="288"/>
        <w:jc w:val="both"/>
      </w:pPr>
      <w:r>
        <w:rPr>
          <w:rFonts w:ascii="Times New Roman" w:hAnsi="Times New Roman" w:eastAsia="Times New Roman"/>
          <w:b w:val="0"/>
          <w:sz w:val="20"/>
        </w:rPr>
        <w:t>The auxiliary prediction examples provide a complementary diagnostic of the learned temporal representation. The future-dynamics head captures short-horizon movement direction and diverges gradually at longer horizons, consistent with the uncertainty of multi-step prediction in an interactive task. In this experiment, the auxiliary task encourages the recurrent encoder to represent patient-motion structure and makes that representation inspectable through prediction examples.</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GRU ablation and auxiliary future-motion prediction. Panels (a) and (b) show smoothed training reward and episode length for the MLP policy, the GRU policy, and the auxiliary GRU policy trained against the mixed learned-hand and SPC pool. Panels (c) and (d) visualize representative auxiliary future-prediction examples and horizon-dependent trajectory error.</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magnetic microrobot platform to evaluate zero-shot physical execution under real hand input. During the deployment trial, a healthy pilot pursued the microrobot on the acrylic workspace, while the UR10 drove the magnetic actuator below the surface. The policy was transferred without physical fine-tuning. At each control step, the observation was constructed from calibrated camera measurements and UR10 state feedback, preserving the same observation categories used in simulation, including hand position, microrobot position, robot state, workspace-boundary features, previous action, and recent displacement history.</w:t>
      </w:r>
    </w:p>
    <w:p>
      <w:pPr>
        <w:ind w:firstLine="288"/>
        <w:jc w:val="both"/>
      </w:pPr>
      <w:r>
        <w:rPr>
          <w:rFonts w:ascii="Times New Roman" w:hAnsi="Times New Roman" w:eastAsia="Times New Roman"/>
          <w:b w:val="0"/>
          <w:sz w:val="20"/>
        </w:rPr>
        <w:t>Fig. 5 presents a representative zero-shot physical rollout.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show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shows that changes in human pursuit speed are reflected in the physical interaction and in the robot response during the same rollout. Thus, the deployment result verifies more than offline policy inference: it shows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magnetic microrobot platform. (a) Key deployment frames from a representative rollout.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