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`methodology_ieee_v2.44_physical_deployment_polish.md`. This version merges fragmented result paragraphs, removes configuration-heavy deployment details from the main prose, simplifies the PFSP sampling formula, and prepares Algorithm 1 for formal Word rendering.</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It places the user in a pursuit role rather than a passive following role, aligning the task with the need for active engagement in motor rehabilitation. We formulate the control problem as a reinforcement learning (RL) task in which the robot regulates interaction difficulty through the motion of the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hand-microrobot separation to remain inside the ZPD band and penalizes deviations on either side. The smoothness component r_smooth(a_t) discourages abrupt commanded motion. The boundary component r_bound(p_R,t) penalizes microrobot positions outside the valid workspace. The catch component r_catch(d_t) penalizes hand-microrobot contact.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broadens the simulated hand-behavior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Hand behavior varies in both intended pursuit strategy and execution accuracy. The proposed domain-randomization strategy models these sources of variability separately by generating intended hand motion first and then applying motor-execution constraints, observation noise, and temporal delay. At the strategy level, a hand policy sampled from the hand-policy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For the stochastic scripted pursuit controller, let ρ_ep denote the episode-level stride length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an ε-greedy pursuit rule.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this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(3)</m:t>
          </m:r>
        </m:oMath>
      </m:oMathPara>
    </w:p>
    <w:p>
      <w:pPr>
        <w:ind w:firstLine="288"/>
        <w:jc w:val="both"/>
      </w:pPr>
      <w:r>
        <w:rPr>
          <w:rFonts w:ascii="Times New Roman" w:hAnsi="Times New Roman" w:eastAsia="Times New Roman"/>
          <w:b w:val="0"/>
          <w:sz w:val="20"/>
        </w:rPr>
        <w:t>where u_t denotes the raw desired displacement, x_t denotes the filtered displacement, and alpha in (0,1) is the inertia coefficient. Acceleration clipping is then applied componentwise to limit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(5)</m:t>
          </m:r>
        </m:oMath>
      </m:oMathPara>
    </w:p>
    <w:p>
      <w:pPr>
        <w:ind w:firstLine="288"/>
        <w:jc w:val="both"/>
      </w:pPr>
      <w:r>
        <w:rPr>
          <w:rFonts w:ascii="Times New Roman" w:hAnsi="Times New Roman" w:eastAsia="Times New Roman"/>
          <w:b w:val="0"/>
          <w:sz w:val="20"/>
        </w:rPr>
        <w:t>where delta is sampled from the delay range and eta_t is zero-mean Gaussian position noise with covariance sigma^2 I.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However,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task is self-supervised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issues by separating the two sides of training and by retaining older hand behaviors in a shared pool. During robot training, the hand policies are fixed and treated as part of the environment. During hand training, the robot policy is fixed. The robot is then trained against a hand-policy pool P that contains the SPC and learned hand policies from previous stages, exposing it to direct pursuit as well as more strategic interception patterns. The pool is used to broaden the hand-behavior distribution, not to make the task purely adversarial; the robot must maintain the ZPD interaction rather than simply maximize escape.</w:t>
      </w:r>
    </w:p>
    <w:p>
      <w:pPr>
        <w:ind w:firstLine="288"/>
        <w:jc w:val="both"/>
      </w:pPr>
      <w:r>
        <w:rPr>
          <w:rFonts w:ascii="Times New Roman" w:hAnsi="Times New Roman" w:eastAsia="Times New Roman"/>
          <w:b w:val="0"/>
          <w:sz w:val="20"/>
        </w:rPr>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robot-training phase.</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Times New Roman"/>
                <w:b/>
                <w:sz w:val="18"/>
              </w:rPr>
              <w:t>Algorithm 1: Iterative League Training</w:t>
            </w:r>
          </w:p>
        </w:tc>
      </w:tr>
      <w:tr>
        <w:tc>
          <w:tcPr>
            <w:tcW w:type="dxa" w:w="10224"/>
          </w:tcPr>
          <w:p>
            <w:pPr>
              <w:spacing w:after="0"/>
            </w:pPr>
            <w:r>
              <w:rPr>
                <w:rFonts w:ascii="Times New Roman" w:hAnsi="Times New Roman" w:eastAsia="Times New Roman"/>
                <w:b/>
                <w:sz w:val="18"/>
              </w:rPr>
              <w:t>Input:</w:t>
            </w:r>
            <w:r>
              <w:rPr>
                <w:rFonts w:ascii="Times New Roman" w:hAnsi="Times New Roman" w:eastAsia="Times New Roman"/>
                <w:b w:val="0"/>
                <w:sz w:val="18"/>
              </w:rPr>
              <w:t xml:space="preserve"> initial robot policy π_R^(0), scripted pursuit controller π_H^SPC, number of league iterations N.</w:t>
            </w:r>
          </w:p>
        </w:tc>
      </w:tr>
      <w:tr>
        <w:tc>
          <w:tcPr>
            <w:tcW w:type="dxa" w:w="10224"/>
          </w:tcPr>
          <w:p>
            <w:pPr>
              <w:spacing w:after="0"/>
            </w:pPr>
            <w:r>
              <w:rPr>
                <w:rFonts w:ascii="Times New Roman" w:hAnsi="Times New Roman" w:eastAsia="Times New Roman"/>
                <w:b/>
                <w:sz w:val="18"/>
              </w:rPr>
              <w:t>Initialize:</w:t>
            </w:r>
            <w:r>
              <w:rPr>
                <w:rFonts w:ascii="Times New Roman" w:hAnsi="Times New Roman" w:eastAsia="Times New Roman"/>
                <w:b w:val="0"/>
                <w:sz w:val="18"/>
              </w:rPr>
              <w:t xml:space="preserve"> hand-policy pool P ← {π_H^SPC}.</w:t>
            </w:r>
          </w:p>
        </w:tc>
      </w:tr>
      <w:tr>
        <w:tc>
          <w:tcPr>
            <w:tcW w:type="dxa" w:w="10224"/>
          </w:tcPr>
          <w:p>
            <w:pPr>
              <w:spacing w:after="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 = 1, 2, ..., N </w:t>
            </w:r>
            <w:r>
              <w:rPr>
                <w:rFonts w:ascii="Times New Roman" w:hAnsi="Times New Roman" w:eastAsia="Times New Roman"/>
                <w:b/>
                <w:sz w:val="18"/>
              </w:rPr>
              <w:t>do</w:t>
            </w:r>
          </w:p>
        </w:tc>
      </w:tr>
      <w:tr>
        <w:tc>
          <w:tcPr>
            <w:tcW w:type="dxa" w:w="10224"/>
          </w:tcPr>
          <w:p>
            <w:pPr>
              <w:spacing w:after="0"/>
              <w:ind w:left="259"/>
            </w:pPr>
            <w:r>
              <w:rPr>
                <w:rFonts w:ascii="Times New Roman" w:hAnsi="Times New Roman" w:eastAsia="Times New Roman"/>
                <w:b w:val="0"/>
                <w:sz w:val="18"/>
              </w:rPr>
              <w:t>2. Train robot policy π_R^(n) with PPO against hand policies sampled from P.</w:t>
            </w:r>
          </w:p>
        </w:tc>
      </w:tr>
      <w:tr>
        <w:tc>
          <w:tcPr>
            <w:tcW w:type="dxa" w:w="10224"/>
          </w:tcPr>
          <w:p>
            <w:pPr>
              <w:spacing w:after="0"/>
              <w:ind w:left="259"/>
            </w:pPr>
            <w:r>
              <w:rPr>
                <w:rFonts w:ascii="Times New Roman" w:hAnsi="Times New Roman" w:eastAsia="Times New Roman"/>
                <w:b w:val="0"/>
                <w:sz w:val="18"/>
              </w:rPr>
              <w:t>3. Initialize hand policy π_H^(n) from π_H^(n-1) when available.</w:t>
            </w:r>
          </w:p>
        </w:tc>
      </w:tr>
      <w:tr>
        <w:tc>
          <w:tcPr>
            <w:tcW w:type="dxa" w:w="10224"/>
          </w:tcPr>
          <w:p>
            <w:pPr>
              <w:spacing w:after="0"/>
              <w:ind w:left="259"/>
            </w:pPr>
            <w:r>
              <w:rPr>
                <w:rFonts w:ascii="Times New Roman" w:hAnsi="Times New Roman" w:eastAsia="Times New Roman"/>
                <w:b w:val="0"/>
                <w:sz w:val="18"/>
              </w:rPr>
              <w:t>4. Train π_H^(n) against the frozen robot policy π_R^(n).</w:t>
            </w:r>
          </w:p>
        </w:tc>
      </w:tr>
      <w:tr>
        <w:tc>
          <w:tcPr>
            <w:tcW w:type="dxa" w:w="10224"/>
          </w:tcPr>
          <w:p>
            <w:pPr>
              <w:spacing w:after="0"/>
              <w:ind w:left="259"/>
            </w:pPr>
            <w:r>
              <w:rPr>
                <w:rFonts w:ascii="Times New Roman" w:hAnsi="Times New Roman" w:eastAsia="Times New Roman"/>
                <w:b w:val="0"/>
                <w:sz w:val="18"/>
              </w:rPr>
              <w:t>5. Update hand-policy pool P ← P ∪ {π_H^(n)}.</w:t>
            </w:r>
          </w:p>
        </w:tc>
      </w:tr>
      <w:tr>
        <w:tc>
          <w:tcPr>
            <w:tcW w:type="dxa" w:w="10224"/>
          </w:tcPr>
          <w:p>
            <w:pPr>
              <w:spacing w:after="0"/>
              <w:ind w:left="259"/>
            </w:pPr>
            <w:r>
              <w:rPr>
                <w:rFonts w:ascii="Times New Roman" w:hAnsi="Times New Roman" w:eastAsia="Times New Roman"/>
                <w:b w:val="0"/>
                <w:sz w:val="18"/>
              </w:rPr>
              <w:t xml:space="preserve">6. </w:t>
            </w:r>
            <w:r>
              <w:rPr>
                <w:rFonts w:ascii="Times New Roman" w:hAnsi="Times New Roman" w:eastAsia="Times New Roman"/>
                <w:b/>
                <w:sz w:val="18"/>
              </w:rPr>
              <w:t>end for</w:t>
            </w:r>
          </w:p>
        </w:tc>
      </w:tr>
    </w:tbl>
    <w:p>
      <w:pPr>
        <w:ind w:firstLine="288"/>
        <w:jc w:val="both"/>
      </w:pPr>
      <w:r>
        <w:rPr>
          <w:rFonts w:ascii="Times New Roman" w:hAnsi="Times New Roman" w:eastAsia="Times New Roman"/>
          <w:b w:val="0"/>
          <w:sz w:val="20"/>
        </w:rPr>
        <w:t>Uniform sampling from the learned-hand pool is inefficient because different learned hands challenge the current robot to different degrees. We therefore use recent episode length as a simple competitiveness signal. A shorter episode usually means that the hand quickly catches the microrobot or forces early termination, so that hand should be sampled more often during the next robot-training phase. For learned hand i, let l_bar_i be its recent mean episode length. The learned-hand sampling score is inversely related to this length and is smoothed with a uniform mixture:</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Times New Roman"/>
          <w:b w:val="0"/>
          <w:sz w:val="20"/>
        </w:rPr>
        <w:t>Here, m is the number of learned hand policies, ε_l is a small stabilizing constant, and μ controls the uniform exploration mass. The SPC remains in the pool with a fixed sampling probability, while the learned-hand portion follows the distribution in (10). This keeps the scripted pursuit behavior available and concentrates the remaining robot-training episodes on learned hands that still expose weaknesses in the current robot policy.</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hand-policy pool improves robustness across pursuit behaviors. The ablation analysis tests whether temporal hand-motion encoding and the auxiliary dynamics objective improve the learned robot representation. Both analyses use the pursuit-evasion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ZPD definition. A timestep was counted as in-zone when the hand-microrobot distance fell within the target ZPD interval. The simulator and the physical workspace share the same calibrated coordinate convention, so one workspace unit corresponds to 1 cm after calibration and can be compared directly with physical rollout distances.</w:t>
      </w:r>
    </w:p>
    <w:p>
      <w:pPr>
        <w:ind w:firstLine="288"/>
        <w:jc w:val="both"/>
      </w:pPr>
      <w:r>
        <w:rPr>
          <w:rFonts w:ascii="Times New Roman" w:hAnsi="Times New Roman" w:eastAsia="Times New Roman"/>
          <w:b w:val="0"/>
          <w:sz w:val="20"/>
        </w:rPr>
        <w:t>Time-In-Zone (TIZ) is the primary metric. It measures the fraction of the full episode horizon for which the hand-microrobot distance remains inside the ZPD interval. Episode length is reported in simulation steps and measures how long the interaction remains active before catch, workspace exit, or the maximum horizon. For the league analysis, cross-hand robustness is summarized by mean TIZ across learned hand policies and by worst-hand TIZ.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training-protocol comparison uses an SPC-only robot trained against the stochastic scripted pursuit controller, a single-hand robot trained against one learned hand policy, and a league-trained robot trained through iterative hand-pool expansion. These policies are evaluated through cross-generation learned-hand tests and through the scripted, learned, and manual hand interfaces used in Table II. The representation comparison keeps the training setting fixed while changing the policy encoder. The MLP baseline uses instantaneous geometry, the GRU policy adds recent relative hand displacement, and the auxiliary GRU policy adds the future-dynamics prediction objective.</w:t>
      </w:r>
    </w:p>
    <w:p>
      <w:pPr>
        <w:pStyle w:val="Heading2"/>
      </w:pPr>
      <w:r>
        <w:t>B. League Training and Cross-Hand Robustness</w:t>
      </w:r>
    </w:p>
    <w:p>
      <w:pPr>
        <w:ind w:firstLine="288"/>
        <w:jc w:val="both"/>
      </w:pPr>
      <w:r>
        <w:rPr>
          <w:rFonts w:ascii="Times New Roman" w:hAnsi="Times New Roman" w:eastAsia="Times New Roman"/>
          <w:b w:val="0"/>
          <w:sz w:val="20"/>
        </w:rPr>
        <w:t>The league evaluation asks whether an expanding hand-policy pool improves robustness across pursuit behaviors, rather than only improving performance against the most recent hand policy. After each robot generation is trained, it is evaluated against all learned hand generations in the pool, separating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and worst-hand TIZ. The mean curve reflects typical performance, and the worst-hand curve tracks the most difficult learned hand for each robot generation; both improve from early to final generations despite local fluctuations.</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Cross-hand validation of league-trained robot policies under the ZPD 3.5-5.5 simulation setting. (a) TIZ matrix obtained by evaluating each robot generation against each learned hand generation. Rows correspond to robot generations, and columns correspond to learned hand generations. (b) Mean and worst-hand TIZ across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learned-hand pool used in Fig. 3. The final SPC-only, single-hand, and league-trained robot policies are tested against the stochastic scripted pursuit controller, a learned hand policy, and manual mouse pursuit. Manual mouse pursuit introduces human reaction time and voluntary pursuit strategy, so it is treated as a human-in-the-loop stress test rather than another automated hand policy.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w:t>
            </w:r>
          </w:p>
        </w:tc>
        <w:tc>
          <w:tcPr>
            <w:tcW w:type="dxa" w:w="2556"/>
            <w:vAlign w:val="center"/>
          </w:tcPr>
          <w:p>
            <w:pPr>
              <w:jc w:val="center"/>
            </w:pPr>
            <w:r>
              <w:rPr>
                <w:rFonts w:ascii="Times New Roman" w:hAnsi="Times New Roman" w:eastAsia="Times New Roman"/>
                <w:b w:val="0"/>
                <w:sz w:val="17"/>
              </w:rPr>
              <w:t>52</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31</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w:t>
            </w:r>
          </w:p>
        </w:tc>
        <w:tc>
          <w:tcPr>
            <w:tcW w:type="dxa" w:w="2556"/>
            <w:vAlign w:val="center"/>
          </w:tcPr>
          <w:p>
            <w:pPr>
              <w:jc w:val="center"/>
            </w:pPr>
            <w:r>
              <w:rPr>
                <w:rFonts w:ascii="Times New Roman" w:hAnsi="Times New Roman" w:eastAsia="Times New Roman"/>
                <w:b w:val="0"/>
                <w:sz w:val="17"/>
              </w:rPr>
              <w:t>33</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w:t>
            </w:r>
          </w:p>
        </w:tc>
        <w:tc>
          <w:tcPr>
            <w:tcW w:type="dxa" w:w="2556"/>
            <w:vAlign w:val="center"/>
          </w:tcPr>
          <w:p>
            <w:pPr>
              <w:jc w:val="center"/>
            </w:pPr>
            <w:r>
              <w:rPr>
                <w:rFonts w:ascii="Times New Roman" w:hAnsi="Times New Roman" w:eastAsia="Times New Roman"/>
                <w:b w:val="0"/>
                <w:sz w:val="17"/>
              </w:rPr>
              <w:t>25</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70</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40</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w:t>
            </w:r>
          </w:p>
        </w:tc>
        <w:tc>
          <w:tcPr>
            <w:tcW w:type="dxa" w:w="2556"/>
            <w:vAlign w:val="center"/>
          </w:tcPr>
          <w:p>
            <w:pPr>
              <w:jc w:val="center"/>
            </w:pPr>
            <w:r>
              <w:rPr>
                <w:rFonts w:ascii="Times New Roman" w:hAnsi="Times New Roman" w:eastAsia="Times New Roman"/>
                <w:b w:val="0"/>
                <w:sz w:val="17"/>
              </w:rPr>
              <w:t>67</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w:t>
            </w:r>
          </w:p>
        </w:tc>
        <w:tc>
          <w:tcPr>
            <w:tcW w:type="dxa" w:w="2556"/>
            <w:vAlign w:val="center"/>
          </w:tcPr>
          <w:p>
            <w:pPr>
              <w:jc w:val="center"/>
            </w:pPr>
            <w:r>
              <w:rPr>
                <w:rFonts w:ascii="Times New Roman" w:hAnsi="Times New Roman" w:eastAsia="Times New Roman"/>
                <w:b w:val="0"/>
                <w:sz w:val="17"/>
              </w:rPr>
              <w:t>64</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74</w:t>
            </w:r>
          </w:p>
        </w:tc>
      </w:tr>
    </w:tbl>
    <w:p>
      <w:pPr>
        <w:ind w:firstLine="288"/>
        <w:jc w:val="both"/>
      </w:pPr>
      <w:r>
        <w:rPr>
          <w:rFonts w:ascii="Times New Roman" w:hAnsi="Times New Roman" w:eastAsia="Times New Roman"/>
          <w:b w:val="0"/>
          <w:sz w:val="20"/>
        </w:rPr>
        <w:t>Each value is reported as a mean over 50 evaluation episodes for each test condition. TIZ denotes the mean fraction of the full episode horizon spent in the ZPD, and Length denotes mean episode length in simulation steps. Standard deviations are omitted to keep the policy comparison compact.</w:t>
      </w:r>
    </w:p>
    <w:p>
      <w:pPr>
        <w:ind w:firstLine="288"/>
        <w:jc w:val="both"/>
      </w:pPr>
      <w:r>
        <w:rPr>
          <w:rFonts w:ascii="Times New Roman" w:hAnsi="Times New Roman" w:eastAsia="Times New Roman"/>
          <w:b w:val="0"/>
          <w:sz w:val="20"/>
        </w:rPr>
        <w:t>The two non-league baselines show complementary forms of specialization. The SPC-only robot remains most suitable for the scripted pursuit controller but degrades under learned and manual pursuit. The single-hand robot performs well against the learned hand policy but loses robustness when the pursuit behavior changes to scripted or manual control. The league-trained robot gives the most balanced profile across all three test sets, preserving learned-hand performance while improving the scripted and manual-pursuit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while the network ablation tests whether the robot policy can use temporal hand-motion information once that diversity is present. The MLP baseline uses the instantaneous geometric state only, the GRU policy adds the 16-frame relative-displacement history, and the auxiliary GRU further adds the future-dynamics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short-horizon displacement generally follows the direction and curvature of the observed future hand motion rather than only reconstructing the current position. The final normalized metrics in Fig. 4(d) summarize the control effect of these representation changes. Recurrent history improves in-zone behavior and workspace coverage relative to the MLP baseline, and adding the auxiliary prediction objective further improves these task-quality metrics while reducing mean jerk. Together, the ablation indicates that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auxiliary-head predictions of short-horizon hand displacement compared with observed future motion. (d) Final task-quality metrics normalized to the MLP baseline; higher values are better for in-zone time and workspace coverage, whereas lower values are better for mean jerk.</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microrobot platform to evaluate zero-shot execution with real hand input. In each rollout, a healthy pilot pursued the passive microrobot on the acrylic workspace while the UR10 moved the magnetic actuator beneath the surface. The policy was used without physical fine-tuning, and the physical dataset contains nine zero-shot rollouts from one pilot session. The camera and UR10 command loops operated in real time, and policy inference was fast enough to support online closed-loop interaction.</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workspace-boundary features, the previous executed robot command, and recent relative hand-displacement history, matching the categories in (6) and (7). UR10 telemetry and end-effector pose were not provided to the policy; RTDE pose readback was used only for Cartesian command execution and monitoring over Ethernet. Perception and calibration were handled by the camera-based tracking pipeline, which combined YOLO microrobot detection, MediaPipe-based hand tracking, and homography-based image-to-workspace calibration. During short hand-tracking gaps, the controller used dead-reckoning from the last measured hand velocity. Safety constraints included workspace clipping, command-step limiting, automatic stop-on-catch,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The image sequence in Fig. 5(a) and the dynamic traces in Fig. 5(b) come from the same trial, so they describe a single time-aligned interaction rather than separate examples. The selected frames cover the initial approach, steady pursuit, faster and slower hand movements, and the end of the rollout, showing that camera perception, hand pursuit, microrobot motion, and UR10 actuation operated as one closed loop. The distance trace remains near the target ZPD band for a substantial portion of the trial and returns toward this range after deviations, indicating that the controller neither simply moves the microrobot away from the hand nor keeps it static until catch. The hand- and robot-speed profiles support the same interpretation: changes in measured hand speed are reflected in the distance trace and in the robot-speed response. The deployment therefore evaluates the complete camera-policy-robot loop, rather than offline policy inference alone, and shows that the simulation-trained controller can sustain an online hand-microrobot interaction on the UR10 platform.</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