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`methodology_ieee_v2.45_global_polish_simplified_pfsp.md`. This version clarifies the operational ZPD definition, adds uncertainty reporting to the policy-comparison table, and specifies the scope of the manual mouse evaluation.</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the Zone of Proximal Development (ZPD) operationally as a target hand-microrobot distance band [2]. In this study, the evaluation band is 3.5–5.5 cm after workspace calibration. This range was selected for the desktop pilot platform to leave enough separation to avoid immediate catch while keeping the microrobot visually and physically reachable. It is therefore a platform-specific operating band rather than a universal clinical threshold; patient-facing use would require session-level calibration to each user's movement range, speed, and therapeutic goal. The robot should neither escape completely nor yield passively, but should keep the interaction inside this band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hand-microrobot separation to remain inside the ZPD band and penalizes deviations on either side. The smoothness component r_smooth(a_t) discourages abrupt commanded motion. The boundary component r_bound(p_R,t) penalizes microrobot positions outside the valid workspace. The catch component r_catch(d_t) penalizes hand-microrobot contact.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broadens the simulated hand-behavior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Hand behavior varies in both intended pursuit strategy and execution accuracy. The proposed domain-randomization strategy models these sources of variability separately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For the stochastic scripted pursuit controller, let ρ_ep denote the episode-level stride length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an ε-greedy pursuit rule.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this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where u_t denotes the raw desired displacement, x_t denotes the filtered displacement, and alpha in (0,1) is the inertia coefficient. Acceleration clipping is then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where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issues by separating the two sides of training and by retaining older hand behaviors in a shared pool. During robot training, the hand policies are fixed and treated as part of the environment. During hand training, the robot policy is fixed. The robot is then trained against a hand-policy pool P that contains the SPC and learned hand policies from previous stages, exposing it to direct pursuit as well as more strategic interception patterns. The pool is used to broaden the hand-behavior distribution, not to make the task purely adversarial;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robot-training phase.</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hand-policy pool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hand-policy pool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learned-hand pool is inefficient because different learned hands challenge the current robot to different degrees. We therefore use recent episode length as a simple competitiveness signal. A shorter episode usually means that the hand quickly catches the microrobot or forces early termination, so that hand should be sampled more often during the next robot-training phase. For learned hand i, let l_bar_i be its recent mean episode length. The learned-hand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learned-hand portion follows the distribution in (10). This keeps the scripted pursuit behavior available and concentrates the remaining robot-training episodes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hand-policy pool improves robustness across pursuit behaviors. The ablation analysis tests whether temporal hand-motion encoding and the auxiliary dynamics objective improve the learned robot representation. Both analyses use the pursuit-evasion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3.5–5.5 cm ZPD band defined in Section II.B. A timestep was counted as in-zone when the hand-microrobot distance fell within this interval. The simulator and the physical workspace share the same calibrated coordinate convention, so one workspace unit corresponds to 1 cm after calibration and can be compared directly with physical rollout distances. The physical rollout in Section IV.D uses the same band for zero-shot consistency, not as a claim that this distance range is clinically optimal for every user.</w:t>
      </w:r>
    </w:p>
    <w:p>
      <w:pPr>
        <w:ind w:firstLine="288"/>
        <w:jc w:val="both"/>
      </w:pPr>
      <w:r>
        <w:rPr>
          <w:rFonts w:ascii="Times New Roman" w:hAnsi="Times New Roman" w:eastAsia="Times New Roman"/>
          <w:b w:val="0"/>
          <w:sz w:val="20"/>
        </w:rPr>
        <w:t>Time-In-Zone (TIZ) is the primary metric. It measures the fraction of the full episode horizon for which the hand-microrobot distance remains inside the ZPD interval. Episode length is reported in simulation steps and measures how long the interaction remains active before catch, workspace exit, or the maximum horizon. For the league analysis, cross-hand robustness is summarized by mean TIZ across learned hand policies and by worst-hand TIZ.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training-protocol comparison uses an SPC-only robot trained against the stochastic scripted pursuit controller, a single-hand robot trained against one learned hand policy, and a league-trained robot trained through iterative hand-pool expansion. These policies are evaluated through cross-generation learned-hand tests and through the scripted, learned-policy,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future-dynamics prediction objective.</w:t>
      </w:r>
    </w:p>
    <w:p>
      <w:pPr>
        <w:pStyle w:val="Heading2"/>
      </w:pPr>
      <w:r>
        <w:t>B. League Training and Cross-Hand Robustness</w:t>
      </w:r>
    </w:p>
    <w:p>
      <w:pPr>
        <w:ind w:firstLine="288"/>
        <w:jc w:val="both"/>
      </w:pPr>
      <w:r>
        <w:rPr>
          <w:rFonts w:ascii="Times New Roman" w:hAnsi="Times New Roman" w:eastAsia="Times New Roman"/>
          <w:b w:val="0"/>
          <w:sz w:val="20"/>
        </w:rPr>
        <w:t>The league evaluation asks whether an expanding hand-policy pool improves robustness across pursuit behaviors, rather than only improving performance against the most recent hand policy. After each robot generation is trained, it is evaluated against all learned hand generations in the pool, separating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and worst-hand TIZ. The mean curve reflects typical performance, and the worst-hand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Cross-hand validation of league-trained robot policies under the ZPD 3.5–5.5 simulation setting. (a) TIZ matrix obtained by evaluating each robot generation against each learned hand generation. Rows correspond to robot generations, and columns correspond to learned hand generations. (b) Mean and worst-hand TIZ across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learned-hand pool used in Fig. 3. The final SPC-only, single-hand, and league-trained robot policies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non-league baselines show complementary forms of specialization. The SPC-only robot remains most suitable for the scripted pursuit controller but degrades under learned and manual pursuit. The single-hand robot performs well against the learned hand policy but loses robustness when the pursuit behavior changes to scripted or manual control. The league-trained robot gives the most balanced profile across all three test sets, preserving learned-hand performance while improving the scripted and manual-pursuit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hand-motion information once that diversity is present. The MLP baseline uses the instantaneous geometric state only, the GRU policy adds the 16-frame relative-displacement history, and the auxiliary GRU further adds the future-dynamics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short-horizon displacement generally follows the direction and curvature of the observed future hand motion rather than only reconstructing the current position. The final normalized metrics in Fig. 4(d) summarize the control effect of these representation changes. Recurrent history improves in-zone behavior and workspace coverage relative to the MLP baseline, and adding the auxiliary prediction objective further improves these task-quality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auxiliary-head predictions of short-horizon hand displacement compared with observed future motion. (d) Final task-quality metrics normalized to the MLP baseline; higher values are better for in-zone time and workspace coverage, whereas lower values are better for mean jerk.</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execution with real hand input. In each rollout, a healthy pilot pursued the passive microrobot on the acrylic workspace while the UR10 moved the magnetic actuator beneath the surface. The policy was used without physical fine-tuning, and the physical dataset contains nine zero-shot rollouts from one pilot session. The camera and UR10 command loops operated in real time, and policy inference was fast enough to support online closed-loop interaction.</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workspace-boundary features, the previous executed robot command, and recent relative hand-displacement history, matching the categories in (6) and (7). UR10 telemetry and end-effector pose were not provided to the policy; RTDE pose readback was used only for Cartesian command execution and monitoring over Ethernet. Perception and calibration were handled by the camera-based tracking pipeline, which combined YOLO microrobot detection, MediaPipe-based hand tracking, and homography-based image-to-workspace calibration. During short hand-tracking gaps, the controller used dead-reckoning from the last measured hand velocity. Safety constraints included workspace clipping, command-step limiting, automatic stop-on-catch,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so they describe a single time-aligned interaction rather than separate examples. The selected frames cover the initial approach, steady pursuit, faster and slower hand movements, and the end of the rollout, showing that camera perception, hand pursuit, microrobot motion, and UR10 actuation operated as one closed loop. The distance trace remains near the target ZPD band for a substantial portion of the trial and returns toward this range after deviations, indicating that the controller neither simply moves the microrobot away from the hand nor keeps it static until catch. The hand- and robot-speed profiles support the same interpretation: changes in measured hand speed are reflected in the distance trace and in the robot-speed response. The deployment therefore evaluates the complete camera-policy-robot loop, rather than offline policy inference alone, and shows that the simulation-trained controller can sustain an online hand-microrobot interaction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