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`methodology_ieee_v2.47_controller_critique_ieee_prose.md`. This version reduces avoidable hyphenated pursuit compounds and uses smoother task descriptions where possible.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interaction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 interaction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creating an active visuomotor interaction rather than a single point-to-point reach [1].</w:t>
      </w:r>
    </w:p>
    <w:p>
      <w:pPr>
        <w:ind w:firstLine="288"/>
        <w:jc w:val="both"/>
      </w:pPr>
      <w:r>
        <w:rPr>
          <w:rFonts w:ascii="Times New Roman" w:hAnsi="Times New Roman" w:eastAsia="Times New Roman"/>
          <w:b w:val="0"/>
          <w:sz w:val="20"/>
        </w:rPr>
        <w:t>The Zone of Proximal Development (ZPD) is defined operationally as a target hand-microrobot distance band [2]. In this study, the evaluation band is 3.5–5.5 cm after workspace calibration. The range was selected for the desktop pilot platform to leave enough separation to avoid immediate catch while keeping the microrobot visually and physically reachable. It is a platform-specific operating band, not a universal clinical threshold. Patient-facing use would require session-level calibration to each user's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artificial-potential-field controllers and impedance or assist-as-needed controllers provide useful baselines for obstacle avoidance and rehabilitation assistance [3]–[5]. Their assumptions are less well matched to this interactive pursuit task. A distance-based potential field can drive the microrobot directly away from the hand, but it has no explicit model of where an intercepting hand will arrive next. When the hand cuts across the target path, a purely reactive field can respond after the interception geometry has already changed, producing oscillatory, boundary-seeking, or prematurely caught trajectories. Rule-based impedance control faces a complementary issue. It can modulate compliance around a desired trajectory or endpoint error, but its gains and reference behaviors must be hand designed. Under camera delay, noisy hand estimates, or abrupt shifts from direct pursuit to interception, the controller must distinguish deliberate strategy from motor lag or measurement noise. A fixed rule has limited ability to make that distinction and optimize the resulting ZPD objective over several future steps. These failure modes motivate an RL formulation that learns a long-horizon difficulty-regulation policy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domain-randomization strategy separates movement intent from motor-execution constraints. The dual-stream encoder provides recent hand-motion history to the policy, and the auxiliary future-dynamics head supplies a direct learning signal for short-horizon motion prediction. Iterative league training exposes the robot to a growing hand-policy pool, reducing dependence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intended pursuit strategy and execution accuracy. The proposed domain-randomization strategy separates these factors. A hand policy first generates the intended displacement, and the motor-execution layer then applies motion constraints, observation noise, and temporal delay. The strategy policy is sampled from a hand-policy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motor-execution model is applied afterward.</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Here, u_t denotes the raw desired displacement, x_t denotes the filtered displacement, and alpha in (0,1) is the inertia coefficient. Acceleration clipping is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This decoupled design exposes the robot policy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observation is encoded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sequence helps the encoder estimate motion direction, response delay, and oscillatory behavior that are unavailable from the current position alone. Relative displacements make the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supervises the encoder only indirectly through policy optimization. A future-dynamics head adds a denser learning signal for motion representation. The head predicts relative hand displacement over an eight-step horizon. Future displacements are available from the rollout, so the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future-dynamics head shares the encoder with the policy, its gradients also update the spatial and temporal streams. These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robot-hand training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hand-policy pool P containing the SPC and learned hand policies from previous stages. This pool exposes the robot to direct pursuit as well as more strategic interception patterns. It broadens the hand-behavior distribution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robot-training phase.</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hand-policy pool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hand-policy pool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learned-hand pool is inefficient because different learned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robot-training phase. For learned hand i, let l_bar_i be its recent mean episode length. The learned-hand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learned-hand portion follows the distribution in (10). This keeps the scripted pursuit behavior available and concentrates the remaining robot-training episodes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hand-policy pool improves robustness across pursuit behaviors. The ablation analysis tests whether temporal hand-motion encoding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in-zone when the hand-microrobot distance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Time-In-Zone (TIZ) is the primary metric. It measures the fraction of the full episode horizon for which the hand-microrobot distance remains inside the ZPD interval. Episode length is reported in simulation steps and measures how long the interaction remains active before catch, workspace exit, or the maximum horizon. For the league analysis, cross-hand robustness is summarized by mean TIZ across learned hand policies and by worst-hand TIZ.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training-protocol comparison uses an SPC-only robot trained against the stochastic scripted pursuit controller, a single-hand robot trained against one learned hand policy, and a league-trained robot trained through iterative hand-pool expansion. These policies are evaluated through cross-generation learned-hand tests and through the scripted, learned-policy,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future-dynamics prediction objective.</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separating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and worst-hand TIZ. The mean curve reflects typical performance, and the worst-hand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rather than only reconstructing the current position. The final normalized metrics in Fig. 4(d) summarize the control effect of these representation changes. Recurrent history improves in-zone behavior and workspace coverage relative to the MLP baseline, and adding the auxiliary prediction objective further improves these task-quality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execution with real hand input. In each rollout, a healthy pilot pursued the passive microrobot on the acrylic workspace while the UR10 moved the magnetic actuator beneath the surface. The policy was used without physical fine-tuning, and the physical dataset contains nine zero-shot rollouts from one pilot session. The camera and UR10 command loops operated in real time, and policy inference was fast enough to support online closed-loop interaction.</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workspace-boundary features, the previous executed robot command, and recent relative hand-displacement history, matching the categories in (6) and (7). UR10 telemetry and end-effector pose were not provided to the policy; RTDE pose readback was used only for Cartesian command execution and monitoring over Ethernet. Perception and calibration were handled by the camera-based tracking pipeline, which combined YOLO microrobot detection, MediaPipe-based hand tracking, and homography-based image-to-workspace calibration. During short hand-tracking gaps, the controller used dead-reckoning from the last measured hand velocity. Safety constraints included workspace clipping, command-step limiting, automatic stop-on-catch,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so they describe a single time-aligned interaction rather than separate examples. The selected frames cover the initial approach, steady pursuit, faster and slower hand movements, and the end of the rollout, showing that camera perception, hand pursuit, microrobot motion, and UR10 actuation operated as one closed loop. The distance trace remains near the target ZPD band for a substantial portion of the trial and returns toward this range after deviations, indicating that the controller neither simply moves the microrobot away from the hand nor keeps it static until catch. The hand- and robot-speed profiles support the same interpretation: changes in measured hand speed are reflected in the distance trace and in the robot-speed response. The deployment therefore evaluates the complete camera-policy-robot loop, rather than offline policy inference alone, and shows that the simulation-trained controller can sustain an online hand-microrobot interaction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