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`methodology_ieee_v2.48_reduce_pursuit_evasion_hyphenation.md`. This version replaces avoidable compound labels with smoother prose throughout the manuscript.</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We formulate the control problem as a reinforcement learning (RL) task in which microrobot motion regulates interaction difficulty.</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workflow from simulation training to camera observation, policy inference, and physical magnetic actuation. The acrylic sheet creates a fixed separation between the actuator and the workspace used by the participant. The participant therefore interacts only with the passive microrobot rather than with the robot arm. The microrobot is lightweight and unpowered, and software limits can constrain commanded motion while the UR10 remains below the surface with its standard emergency stop available. The hardware requires only a collaborative robot, a camera, a calibrated planar workspace, and a permanent magnet. It does not rely on wearable components, force sensors, onboard batteries, or custom actuators, which facilitates reproduction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 [1].</w:t>
      </w:r>
    </w:p>
    <w:p>
      <w:pPr>
        <w:ind w:firstLine="288"/>
        <w:jc w:val="both"/>
      </w:pPr>
      <w:r>
        <w:rPr>
          <w:rFonts w:ascii="Times New Roman" w:hAnsi="Times New Roman" w:eastAsia="Times New Roman"/>
          <w:b w:val="0"/>
          <w:sz w:val="20"/>
        </w:rPr>
        <w:t>The Zone of Proximal Development (ZPD) is defined operationally as a target range for the distance between the hand and microrobot [2]. In this study, the evaluation band is 3.5–5.5 cm after workspace calibration. The range was selected for the desktop pilot platform to leave enough separation to avoid immediate catch while keeping the microrobot visually and physically reachable. It is an operating band specific to this platform, not a universal clinical threshold. Use with patients would require calibration during each session according to movement range, speed, and therapeutic goal. The robot should keep the interaction inside this band rather than escaping completely or yielding passively.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Classical artificial potential field controllers and impedance controllers that provide assistance as needed are useful baselines for obstacle avoidance and rehabilitation [3]–[5]. Their assumptions are less well matched to this interactive pursuit task. A potential field based on distance can drive the microrobot directly away from the hand, but it has no explicit model of where an intercepting hand will arrive next. When the hand cuts across the target path, a purely reactive field may respond only after the interception geometry has changed. The resulting trajectory can oscillate, move toward a workspace boundary, or end in an early catch. Impedance control based on fixed rules faces a complementary issue. It can modulate compliance around a desired trajectory or endpoint error, but its gains and reference behaviors require manual design. Under camera delay, noisy hand estimates, or abrupt shifts from direct pursuit to interception, the controller must distinguish deliberate strategy from motor lag or measurement noise. A fixed rule has limited ability to make that distinction or optimize ZPD regulation over several future steps. These failure modes motivate an RL policy that regulates difficulty over a longer horizon under variable hand behavior.</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separation between the hand and microrobot to remain inside the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Difficulty regulation must remain stable while hand behavior changes in both strategy and motor execution. The method handles this variability across simulation, observation, and training distribution. The domain randomization strategy separates movement intent from constraints on motor execution. An encoder with two streams provides recent hand motion to the policy, and an auxiliary dynamics head supplies a direct learning signal for prediction over a short horizon. Iterative league training exposes the robot to a growing pool of hand policies, reducing dependence on one fixed virtual user.</w:t>
      </w:r>
    </w:p>
    <w:p>
      <w:pPr>
        <w:pStyle w:val="Heading2"/>
      </w:pPr>
      <w:r>
        <w:t>A. Decoupled Randomization of Cognitive and Motor Factors</w:t>
      </w:r>
    </w:p>
    <w:p>
      <w:pPr>
        <w:ind w:firstLine="288"/>
        <w:jc w:val="both"/>
      </w:pPr>
      <w:r>
        <w:rPr>
          <w:rFonts w:ascii="Times New Roman" w:hAnsi="Times New Roman" w:eastAsia="Times New Roman"/>
          <w:b w:val="0"/>
          <w:sz w:val="20"/>
        </w:rPr>
        <w:t>Hand behavior varies in intended pursuit strategy and execution accuracy. The proposed domain randomization strategy separates these factors. A hand policy first generates the intended displacement, and the motor execution layer then applies motion constraints, observation noise, and temporal delay. The strategy policy is sampled from a pool containing the SPC and trained RL hand policies. The SPC provides a transparent pursuit model; learned hand policies can produce more anticipatory interception strategies.</w:t>
      </w:r>
    </w:p>
    <w:p>
      <w:pPr>
        <w:ind w:firstLine="288"/>
        <w:jc w:val="both"/>
      </w:pPr>
      <w:r>
        <w:rPr>
          <w:rFonts w:ascii="Times New Roman" w:hAnsi="Times New Roman" w:eastAsia="Times New Roman"/>
          <w:b w:val="0"/>
          <w:sz w:val="20"/>
        </w:rPr>
        <w:t>For the stochastic scripted pursuit controller, let ρ_ep denote the stride length sampled for each episode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pPr>
        <w:ind w:firstLine="288"/>
        <w:jc w:val="both"/>
      </w:pPr>
      <w:r>
        <w:rPr>
          <w:rFonts w:ascii="Times New Roman" w:hAnsi="Times New Roman" w:eastAsia="Times New Roman"/>
          <w:b w:val="0"/>
          <w:sz w:val="20"/>
        </w:rPr>
        <w:t>The raw desired displacement first passes through a low pass filter of first order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Here, u_t denotes the raw desired displacement, x_t denotes the filtered displacement, and alpha in (0,1) is the inertia coefficient. Acceleration clipping is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Here, delta is sampled from the delay range, and eta_t is Gaussian position noise with mean zero and covariance sigma^2 I. The delay buffer advances at 8 Hz in the motor execution layer, so the 0–3 frame range in Table I corresponds to 0–375 ms. Table I lists the values and sampled ranges used for these constraints. This decoupled design exposes the robot policy to plausible variations in hand motion without tying training to a single simulated hand model.</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Encoder with Two Streams and Auxiliary Dynamics Prediction</w:t>
      </w:r>
    </w:p>
    <w:p>
      <w:pPr>
        <w:ind w:firstLine="288"/>
        <w:jc w:val="both"/>
      </w:pPr>
      <w:r>
        <w:rPr>
          <w:rFonts w:ascii="Times New Roman" w:hAnsi="Times New Roman" w:eastAsia="Times New Roman"/>
          <w:b w:val="0"/>
          <w:sz w:val="20"/>
        </w:rPr>
        <w:t>The proposed domain randomization scheme exposes the robot to diverse interaction behaviors during training. The robot does not observe the underlying behavior model directly. It must infer behavior patterns from the current interaction state and recent hand motion. Current hand position alone cannot distinguish deliberate pursuit from sensing noise, motor delay, or slow response. The observation uses two streams, one for instantaneous geometric context and one for the recent history of hand motion.</w:t>
      </w:r>
    </w:p>
    <w:p>
      <w:pPr>
        <w:ind w:firstLine="288"/>
        <w:jc w:val="both"/>
      </w:pPr>
      <w:r>
        <w:rPr>
          <w:rFonts w:ascii="Times New Roman" w:hAnsi="Times New Roman" w:eastAsia="Times New Roman"/>
          <w:b w:val="0"/>
          <w:sz w:val="20"/>
        </w:rPr>
        <w:t>At each timestep, the observation vector has 44 dimensions and is divided into a scalar vector with 12 dimensions and a temporal buffer with 32 dimensions,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Policy architecture with separate spatial and temporal streams and auxiliary dynamics prediction. The spatial branch encodes the geometric state, the temporal branch encodes recent interaction history with a recurrent module, and the fused representation supports the policy head, value head, and auxiliary prediction head.</w:t>
      </w:r>
    </w:p>
    <w:p>
      <w:pPr>
        <w:ind w:firstLine="288"/>
        <w:jc w:val="both"/>
      </w:pPr>
      <w:r>
        <w:rPr>
          <w:rFonts w:ascii="Times New Roman" w:hAnsi="Times New Roman" w:eastAsia="Times New Roman"/>
          <w:b w:val="0"/>
          <w:sz w:val="20"/>
        </w:rP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the auxiliary task uses self supervision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Here, D_hat_{t+1:t+H} is the predicted future displacement sequence, and D_{t+1:t+H} is the observed future displacement sequence. The full training objective combines the PPO loss with the auxiliary trajectory 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Here,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pPr>
        <w:pStyle w:val="Heading2"/>
      </w:pPr>
      <w:r>
        <w:t>C. League Training</w:t>
      </w:r>
    </w:p>
    <w:p>
      <w:pPr>
        <w:ind w:firstLine="288"/>
        <w:jc w:val="both"/>
      </w:pPr>
      <w:r>
        <w:rPr>
          <w:rFonts w:ascii="Times New Roman" w:hAnsi="Times New Roman" w:eastAsia="Times New Roman"/>
          <w:b w:val="0"/>
          <w:sz w:val="20"/>
        </w:rPr>
        <w:t>Stable difficulty regulation also depends on diversity in the training hand behaviors.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pool of hand policies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pool of hand policies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3.5–5.5 cm ZPD band defined in Section II.B. A timestep was counted as within the zone when the distance between the hand and microrobot fell within this interval. The simulator and the physical workspace share the same calibrated coordinate convention, so one workspace unit corresponds to 1 cm after calibration and can be compared directly with physical rollout distances. The physical rollout in Section IV.D uses the same band to preserve consistency during transfer without physical adaptation, not as a claim that this distance range is clinically optimal for every user.</w:t>
      </w:r>
    </w:p>
    <w:p>
      <w:pPr>
        <w:ind w:firstLine="288"/>
        <w:jc w:val="both"/>
      </w:pPr>
      <w:r>
        <w:rPr>
          <w:rFonts w:ascii="Times New Roman" w:hAnsi="Times New Roman" w:eastAsia="Times New Roman"/>
          <w:b w:val="0"/>
          <w:sz w:val="20"/>
        </w:rPr>
        <w:t>Time in Zone (TIZ) is the primary metric. It measures the fraction of the full episode horizon for which the distance between the hand and microrobot remains inside the ZPD interval.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comparison of training protocols uses an SPC baseline trained only against the stochastic scripted pursuit controller, a single policy baseline trained against one learned hand policy, and a league policy trained through iterative expansion of the hand pool. These robot policies are evaluated against learned hands from different generations and through the scripted, learned policy, and manual mouse interfaces used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pPr>
        <w:pStyle w:val="Heading2"/>
      </w:pPr>
      <w:r>
        <w:t>B. League Training and Robustness Across Hand Policies</w:t>
      </w:r>
    </w:p>
    <w:p>
      <w:pPr>
        <w:ind w:firstLine="288"/>
        <w:jc w:val="both"/>
      </w:pPr>
      <w:r>
        <w:rPr>
          <w:rFonts w:ascii="Times New Roman" w:hAnsi="Times New Roman" w:eastAsia="Times New Roman"/>
          <w:b w:val="0"/>
          <w:sz w:val="20"/>
        </w:rP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Validation of robot policies trained through league across learned hand generations under the ZPD 3.5–5.5 simulation setting.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pool of learned hands used in Fig. 3. The final SPC baseline, single policy baseline, and league policy are tested against the stochastic scripted pursuit controller, a learned hand policy, and manual mouse pursuit.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stress test with a human operator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learned hand tests used 100 episodes per condition, and manual mouse tests used 20 episodes per robot policy.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baselines without league training show complementary forms of specialization. The SPC baseline remains most suitable for the scripted pursuit controller but degrades under learned and manual pursuit. The single policy baseline performs well against the learned hand policy but loses robustness when the pursuit behavior changes to scripted or manual control. The league policy gives the most balanced profile across all three test sets, preserving performance against the learned hand while improving the scripted and manual 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pPr>
        <w:pStyle w:val="Heading2"/>
      </w:pPr>
      <w:r>
        <w:t>D. Online Physical Deployment</w:t>
      </w:r>
    </w:p>
    <w:p>
      <w:pPr>
        <w:ind w:firstLine="288"/>
        <w:jc w:val="both"/>
      </w:pPr>
      <w:r>
        <w:rPr>
          <w:rFonts w:ascii="Times New Roman" w:hAnsi="Times New Roman" w:eastAsia="Times New Roman"/>
          <w:b w:val="0"/>
          <w:sz w:val="20"/>
        </w:rPr>
        <w:t>The policy trained in simulation was deployed on the UR10 microrobot platform to evaluate transfer with real hand input and no adaptation on hardware. In each rollout, a healthy pilot pursued the passive microrobot on the acrylic workspace while the UR10 moved the magnetic actuator beneath the surface. The policy received no further training on the physical platform, and the dataset contains nine transfer rollouts from one pilot session. The camera and UR10 command loops operated in real time, and policy inference was fast enough to support online interaction with continuous feedback.</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features describing workspace boundaries, the previous executed robot command, and the recent history of relative hand displacement, matching the categories in (6) and (7). UR10 telemetry and end effector pose were not provided to the policy; RTDE pose readback was used only for Cartesian command execution and monitoring over Ethernet. The camera tracking pipeline handled perception and calibration through YOLO microrobot detection, MediaPipe hand tracking, and a homography that mapped image coordinates to workspace coordinates. During short gaps in hand tracking, the controller extrapolated motion from the last measured hand velocity. Safety constraints included workspace clipping, limits on command increments, automatic stopping after 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physical transfer rollout. The image sequence in Fig. 5(a) and the dynamic traces in Fig. 5(b) come from the same trial and share the same time axis. The selected frames cover the initial approach, steady pursuit, faster and slower hand movements, and the end of the rollout. They show that camera perception, hand pursuit, microrobot motion, and UR10 actuation operated within one feedback loop. The distance trace remains near the target ZPD band for a substantial portion of the trial and returns toward this range after deviations. The controller therefore neither simply moves the microrobot away from the hand nor keeps it static until catch. The profiles of hand speed and robot speed support the same interpretation: changes in measured hand speed are reflected in the distance trace and in the robot response. The deployment evaluates the complete loop connecting camera, policy, and robot rather than offline policy inference alone. It shows that the controller trained in simulation can sustain an online interaction between the hand and microrobot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Physical deployment on the UR10 microrobot platform without adaptation on hardware. (a) Key deployment frames from a representative rollout among nine physical trials. (b) Smoothed distance between the hand and microrobot,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