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`methodology_ieee_v2.49_reduce_hyphenated_compounds.md`. This version retains established technical compounds used widely in the literature while continuing to avoid unnecessary compound labels.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evaluation band is 3.5–5.5 cm after workspace calibration. The range was selected for the desktop pilot platform to leave enough separation to avoid immediate catch while keeping the microrobot visually and physically reachable. It is an operating band specific to this platform, not a universal clinical threshold. Use with patients would require calibration during each session according to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The raw desired displacement first passes through a low pass filter of first order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Here, u_t denotes the raw desired displacement, x_t denotes the filtered displacement, and alpha in (0,1) is the inertia coefficient. Acceleration clipping is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Here, delta is sampled from the delay range, and eta_t is Gaussian position noise with mean zero and covariance sigma^2 I. The delay buffer advances at 8 Hz in the motor execution layer, so the 0–3 frame range in Table I corresponds to 0–375 ms. Table I lists the values and sampled ranges used for these constraints. This decoupled design exposes the robot policy to plausible variations in hand motion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the auxiliary task uses self supervision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within the zone when the distance between the hand and microrobot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ZPD interval.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under the ZPD 3.5–5.5 simulation setting.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operated in real time,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 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and share the same time axis. The selected frames cover the initial approach, steady pursuit, faster and slower hand movements, and the end of the rollout. They show that camera perception, hand pursuit, microrobot motion, and UR10 actuation operated within one feedback loop. The distance trace remains near the target ZPD band for a substantial portion of the trial and returns toward this range after deviations. The controller therefore neither simply moves the microrobot away from the hand nor keeps it static until catch. The profiles of hand speed and robot speed support the same interpretation: changes in measured hand speed are reflected in the distance trace and in the robot response. The deployment evaluates the complete loop connecting camera, policy, and robot rather than offline policy inference alone. It shows that the controller trained in simulation can sustain an online interaction between the hand and microrobot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