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equations (3)–(5) and their immediate variable definitions.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the intended displacement, and the motor execution layer then applies motion constraints, observation noise, and temporal delay.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displacement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Equation (5) defines the core kinematic update. The delay and noise parameters in Table I are applied separately by the motor execution layer. This formulation allows a constant intended velocity to converge to a constant executed velocity rather than causing the hand motion to vanish.</w:t>
      </w:r>
    </w:p>
    <w:p>
      <w:pPr>
        <w:pStyle w:val="IEEECaption"/>
        <w:jc w:val="center"/>
      </w:pPr>
      <w:r>
        <w:rPr>
          <w:rFonts w:ascii="Times New Roman" w:hAnsi="Times New Roman" w:eastAsia="Times New Roman"/>
          <w:b/>
          <w:sz w:val="18"/>
        </w:rPr>
        <w:t>TABLE I: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Motion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Uniform distribution over 0.01–0.08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provided real-time control,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traces in Fig. 5(b) are aligned in time, linking the observed configurations to changes in hand speed, robot speed, and separation. During steady pursuit, the distance remains within or close to the target ZPD band. When the hand accelerates sharply, the separation briefly falls below the target ZPD band as the hand closes rapidly on the microrobot. Robot speed then increases, and the distance re-enters the target ZPD band within the following few seconds. As the hand subsequently decelerates, the change in relative motion produces another short deviation. Robot speed decreases after the slowdown, and the distance again returns toward the target ZPD band. Similar coupled changes later in the rollout show that the policy modifies microrobot motion as the pursuit dynamics change rather than maintaining a fixed-speed escape response. The final sustained decrease in distance corresponds to catch and episode termination. This representative trial therefore supports the ability of the simulation-trained policy to respond online to abrupt changes in hand motion and restore the intended interaction range after transient disturbances.</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