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`methodology_ieee_v2.50_restore_standard_compounds.md`. This version corrects equations (3)–(5) and their immediate variable definitions.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We formulate the control problem as a reinforcement learning (RL) task in which microrobot motion regulates interaction difficulty.</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workflow from simulation training to camera observation, policy inference, and physical magnetic actuation. The acrylic sheet creates a fixed separation between the actuator and the workspace used by the participant. The participant therefore interacts only with the passive microrobot rather than with the robot arm. The microrobot is lightweight and unpowered, and software limits can constrain commanded motion while the UR10 remains below the surface with its standard emergency stop available. The hardware requires only a collaborative robot, a camera, a calibrated planar workspace, and a permanent magnet. It does not rely on wearable components, force sensors, onboard batteries, or custom actuators, which facilitates reproduction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 [1].</w:t>
      </w:r>
    </w:p>
    <w:p>
      <w:pPr>
        <w:ind w:firstLine="288"/>
        <w:jc w:val="both"/>
      </w:pPr>
      <w:r>
        <w:rPr>
          <w:rFonts w:ascii="Times New Roman" w:hAnsi="Times New Roman" w:eastAsia="Times New Roman"/>
          <w:b w:val="0"/>
          <w:sz w:val="20"/>
        </w:rPr>
        <w:t>The Zone of Proximal Development (ZPD) is defined operationally as a target range for the distance between the hand and microrobot [2].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Classical artificial potential field controllers and impedance controllers that provide assistance as needed are useful baselines for obstacle avoidance and rehabilitation [3]–[5]. Their assumptions are less well matched to this interactive pursuit task. A potential field based on distance can drive the microrobot directly away from the hand, but it has no explicit model of where an intercepting hand will arrive next. When the hand cuts across the target path, a purely reactive field may respond only after the interception geometry has changed. The resulting trajectory can oscillate, move toward a workspace boundary, or end in an early catch. Impedance control based on fixed rules faces a complementary issue. It can modulate compliance around a desired trajectory or endpoint error, but its gains and reference behaviors require manual design. Under camera delay, noisy hand estimates, or abrupt shifts from direct pursuit to interception, the controller must distinguish deliberate strategy from motor lag or measurement noise. A fixed rule has limited ability to make that distinction or optimize ZPD regulation over several future steps. These failure modes motivate an RL policy that regulates difficulty over a longer horizon under variable hand behavior.</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Difficulty regulation must remain stable while hand behavior changes in both strategy and motor execution. The method handles this variability across simulation, observation, and training distribution. The domain randomization strategy separates movement intent from constraints on motor execution. A dual-stream encoder provides recent hand motion to the policy, and an auxiliary dynamics head supplies a direct learning signal for prediction over a short horizon. Iterative league training exposes the robot to a growing pool of hand policies, reducing dependence on one fixed virtual user.</w:t>
      </w:r>
    </w:p>
    <w:p>
      <w:pPr>
        <w:pStyle w:val="Heading2"/>
      </w:pPr>
      <w:r>
        <w:t>A. Decoupled Randomization of Cognitive and Motor Factors</w:t>
      </w:r>
    </w:p>
    <w:p>
      <w:pPr>
        <w:ind w:firstLine="288"/>
        <w:jc w:val="both"/>
      </w:pPr>
      <w:r>
        <w:rPr>
          <w:rFonts w:ascii="Times New Roman" w:hAnsi="Times New Roman" w:eastAsia="Times New Roman"/>
          <w:b w:val="0"/>
          <w:sz w:val="20"/>
        </w:rPr>
        <w:t>Hand behavior varies in intended pursuit strategy and execution accuracy. The proposed domain randomization strategy separates these factors. A hand policy first generates the intended displacement, and the motor execution layer then applies motion constraints, observation noise, and temporal delay. The strategy policy is sampled from a pool containing the SPC and trained RL hand policies. The SPC provides a transparent pursuit model; learned hand policies can produce more anticipatory interception strategies.</w:t>
      </w:r>
    </w:p>
    <w:p>
      <w:pPr>
        <w:ind w:firstLine="288"/>
        <w:jc w:val="both"/>
      </w:pPr>
      <w:r>
        <w:rPr>
          <w:rFonts w:ascii="Times New Roman" w:hAnsi="Times New Roman" w:eastAsia="Times New Roman"/>
          <w:b w:val="0"/>
          <w:sz w:val="20"/>
        </w:rPr>
        <w:t>For the stochastic scripted pursuit controller, let ρ_ep denote the stride length sampled for each episode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pPr>
        <w:ind w:firstLine="288"/>
        <w:jc w:val="both"/>
      </w:pPr>
      <w:r>
        <w:rPr>
          <w:rFonts w:ascii="Times New Roman" w:hAnsi="Times New Roman" w:eastAsia="Times New Roman"/>
          <w:b w:val="0"/>
          <w:sz w:val="20"/>
        </w:rPr>
        <w:t>Let u_t denote the intended hand velocity, v_t denote the executed velocity, and ṽ_t denote the filtered target velocity. Motion smoothing is applied as</w:t>
      </w:r>
    </w:p>
    <w:p>
      <w:pPr>
        <w:pStyle w:val="DisplayEquation"/>
        <w:spacing w:before="60" w:after="60"/>
        <w:jc w:val="center"/>
      </w:pPr>
      <m:oMathPara>
        <m:oMath>
          <m:sSub>
            <m:e>
              <m:r>
                <m:t xml:space="preserve">ṽ</m:t>
              </m:r>
            </m:e>
            <m:sub>
              <m:r>
                <m:t xml:space="preserve">t</m:t>
              </m:r>
            </m:sub>
          </m:sSub>
          <m:r>
            <m:t xml:space="preserve"> = α</m:t>
          </m:r>
          <m:sSub>
            <m:e>
              <m:r>
                <m:t xml:space="preserve">u</m:t>
              </m:r>
            </m:e>
            <m:sub>
              <m:r>
                <m:t xml:space="preserve">t</m:t>
              </m:r>
            </m:sub>
          </m:sSub>
          <m:r>
            <m:t xml:space="preserve"> + (1−α)</m:t>
          </m:r>
          <m:sSub>
            <m:e>
              <m:r>
                <m:t xml:space="preserve">v</m:t>
              </m:r>
            </m:e>
            <m:sub>
              <m:r>
                <m:t xml:space="preserve">t−1</m:t>
              </m:r>
            </m:sub>
          </m:sSub>
          <m:r>
            <m:t xml:space="preserve">    (3)</m:t>
          </m:r>
        </m:oMath>
      </m:oMathPara>
    </w:p>
    <w:p>
      <w:pPr>
        <w:ind w:firstLine="288"/>
        <w:jc w:val="both"/>
      </w:pPr>
      <w:r>
        <w:rPr>
          <w:rFonts w:ascii="Times New Roman" w:hAnsi="Times New Roman" w:eastAsia="Times New Roman"/>
          <w:b w:val="0"/>
          <w:sz w:val="20"/>
        </w:rPr>
        <w:t>The change from the previous executed velocity is then limited by its Euclidean norm,</w:t>
      </w:r>
    </w:p>
    <w:p>
      <w:pPr>
        <w:pStyle w:val="DisplayEquation"/>
        <w:spacing w:before="60" w:after="60"/>
        <w:jc w:val="center"/>
      </w:pPr>
      <m:oMathPara>
        <m:oMath>
          <m:sSub>
            <m:e>
              <m:r>
                <m:t xml:space="preserve">v</m:t>
              </m:r>
            </m:e>
            <m:sub>
              <m:r>
                <m:t xml:space="preserve">t</m:t>
              </m:r>
            </m:sub>
          </m:sSub>
          <m:r>
            <m:t xml:space="preserve"> = </m:t>
          </m:r>
          <m:sSub>
            <m:e>
              <m:r>
                <m:t xml:space="preserve">v</m:t>
              </m:r>
            </m:e>
            <m:sub>
              <m:r>
                <m:t xml:space="preserve">t−1</m:t>
              </m:r>
            </m:sub>
          </m:sSub>
          <m:r>
            <m:t xml:space="preserve"> + clip_norm(</m:t>
          </m:r>
          <m:sSub>
            <m:e>
              <m:r>
                <m:t xml:space="preserve">ṽ</m:t>
              </m:r>
            </m:e>
            <m:sub>
              <m:r>
                <m:t xml:space="preserve">t</m:t>
              </m:r>
            </m:sub>
          </m:sSub>
          <m:r>
            <m:t xml:space="preserve">−</m:t>
          </m:r>
          <m:sSub>
            <m:e>
              <m:r>
                <m:t xml:space="preserve">v</m:t>
              </m:r>
            </m:e>
            <m:sub>
              <m:r>
                <m:t xml:space="preserve">t−1</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Here, clip_norm(z, a_max) returns z when its Euclidean norm does not exceed a_max and otherwise rescales it to have norm a_max. The executed velocity updates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m:t>
          </m:r>
          <m:sSub>
            <m:e>
              <m:r>
                <m:t xml:space="preserve">v</m:t>
              </m:r>
            </m:e>
            <m:sub>
              <m:r>
                <m:t xml:space="preserve">t</m:t>
              </m:r>
            </m:sub>
          </m:sSub>
          <m:r>
            <m:t xml:space="preserve">    (5)</m:t>
          </m:r>
        </m:oMath>
      </m:oMathPara>
    </w:p>
    <w:p>
      <w:pPr>
        <w:ind w:firstLine="288"/>
        <w:jc w:val="both"/>
      </w:pPr>
      <w:r>
        <w:rPr>
          <w:rFonts w:ascii="Times New Roman" w:hAnsi="Times New Roman" w:eastAsia="Times New Roman"/>
          <w:b w:val="0"/>
          <w:sz w:val="20"/>
        </w:rPr>
        <w:t>Equation (5) defines the core kinematic update. The delay and noise parameters in Table I are applied separately by the motor execution layer. This formulation allows a constant intended velocity to converge to a constant executed velocity rather than causing the hand motion to vanish.</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Auxiliary Dynamics Prediction</w:t>
      </w:r>
    </w:p>
    <w:p>
      <w:pPr>
        <w:ind w:firstLine="288"/>
        <w:jc w:val="both"/>
      </w:pPr>
      <w:r>
        <w:rPr>
          <w:rFonts w:ascii="Times New Roman" w:hAnsi="Times New Roman" w:eastAsia="Times New Roman"/>
          <w:b w:val="0"/>
          <w:sz w:val="20"/>
        </w:rPr>
        <w:t>The proposed domain randomization scheme exposes the robot to diverse interaction behaviors during training. The robot does not observe the underlying behavior model directly. It must infer behavior patterns from the current interaction state and recent hand motion. Current hand position alone cannot distinguish deliberate pursuit from sensing noise, motor delay, or slow response. The dual-stream encoder separates instantaneous geometric context from the recent history of hand motion.</w:t>
      </w:r>
    </w:p>
    <w:p>
      <w:pPr>
        <w:ind w:firstLine="288"/>
        <w:jc w:val="both"/>
      </w:pPr>
      <w:r>
        <w:rPr>
          <w:rFonts w:ascii="Times New Roman" w:hAnsi="Times New Roman" w:eastAsia="Times New Roman"/>
          <w:b w:val="0"/>
          <w:sz w:val="20"/>
        </w:rPr>
        <w:t>At each timestep, the observation vector has 44 dimensions and is divided into a scalar vector with 12 dimensions and a temporal buffer with 32 dimensions,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pPr>
        <w:ind w:firstLine="288"/>
        <w:jc w:val="both"/>
      </w:pPr>
      <w:r>
        <w:rPr>
          <w:rFonts w:ascii="Times New Roman" w:hAnsi="Times New Roman" w:eastAsia="Times New Roman"/>
          <w:b w:val="0"/>
          <w:sz w:val="20"/>
        </w:rP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this self-supervised auxiliary task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Here, D_hat_{t+1:t+H} is the predicted future displacement sequence, and D_{t+1:t+H} is the observed future displacement sequence. The full training objective combines the PPO loss with the auxiliary trajectory 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Here,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pPr>
        <w:pStyle w:val="Heading2"/>
      </w:pPr>
      <w:r>
        <w:t>C. League Training</w:t>
      </w:r>
    </w:p>
    <w:p>
      <w:pPr>
        <w:ind w:firstLine="288"/>
        <w:jc w:val="both"/>
      </w:pPr>
      <w:r>
        <w:rPr>
          <w:rFonts w:ascii="Times New Roman" w:hAnsi="Times New Roman" w:eastAsia="Times New Roman"/>
          <w:b w:val="0"/>
          <w:sz w:val="20"/>
        </w:rPr>
        <w:t>Stable difficulty regulation also depends on diversity in the training hand behaviors.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pool of hand policies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pool of hand policies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pPr>
        <w:ind w:firstLine="288"/>
        <w:jc w:val="both"/>
      </w:pPr>
      <w:r>
        <w:rPr>
          <w:rFonts w:ascii="Times New Roman" w:hAnsi="Times New Roman" w:eastAsia="Times New Roman"/>
          <w:b w:val="0"/>
          <w:sz w:val="20"/>
        </w:rP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pPr>
        <w:pStyle w:val="Heading2"/>
      </w:pPr>
      <w:r>
        <w:t>B. League Training and Robustness Across Hand Policies</w:t>
      </w:r>
    </w:p>
    <w:p>
      <w:pPr>
        <w:ind w:firstLine="288"/>
        <w:jc w:val="both"/>
      </w:pPr>
      <w:r>
        <w:rPr>
          <w:rFonts w:ascii="Times New Roman" w:hAnsi="Times New Roman" w:eastAsia="Times New Roman"/>
          <w:b w:val="0"/>
          <w:sz w:val="20"/>
        </w:rP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pPr>
        <w:ind w:firstLine="288"/>
        <w:jc w:val="both"/>
      </w:pPr>
      <w:r>
        <w:rPr>
          <w:rFonts w:ascii="Times New Roman" w:hAnsi="Times New Roman" w:eastAsia="Times New Roman"/>
          <w:b w:val="0"/>
          <w:sz w:val="20"/>
        </w:rPr>
        <w:t>Table II complements the cross-generation analysis in Fig. 3 by comparing the SPC baseline, single policy baseline, and final league policy under the SPC, a fixed learned hand policy (H1), and manual mouse pursuit. The same H1 policy is used to evaluate all three robot policies, providing a controlled condition with a learned pursuit strategy. The manual mouse condition was completed by one healthy operator using the mouse interface to pursue and catch the simulated microrobot as quickly as possible. It introduces human reaction time and voluntary pursuit strategy, but it does not reproduce the biomechanics or perception noise of real hand tracking. It is therefore treated as a human-in-the-loop stress test rather than clinical validation.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PURSUIT CONDITIONS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Pursuit condition</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 ± 0.06</w:t>
            </w:r>
          </w:p>
        </w:tc>
        <w:tc>
          <w:tcPr>
            <w:tcW w:type="dxa" w:w="2556"/>
            <w:vAlign w:val="center"/>
          </w:tcPr>
          <w:p>
            <w:pPr>
              <w:jc w:val="center"/>
            </w:pPr>
            <w:r>
              <w:rPr>
                <w:rFonts w:ascii="Times New Roman" w:hAnsi="Times New Roman" w:eastAsia="Times New Roman"/>
                <w:b w:val="0"/>
                <w:sz w:val="17"/>
              </w:rPr>
              <w:t>52 ± 8</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Learned hand (H1)</w:t>
            </w:r>
          </w:p>
        </w:tc>
        <w:tc>
          <w:tcPr>
            <w:tcW w:type="dxa" w:w="2556"/>
            <w:vAlign w:val="center"/>
          </w:tcPr>
          <w:p>
            <w:pPr>
              <w:jc w:val="center"/>
            </w:pPr>
            <w:r>
              <w:rPr>
                <w:rFonts w:ascii="Times New Roman" w:hAnsi="Times New Roman" w:eastAsia="Times New Roman"/>
                <w:b w:val="0"/>
                <w:sz w:val="17"/>
              </w:rPr>
              <w:t>0.19 ± 0.04</w:t>
            </w:r>
          </w:p>
        </w:tc>
        <w:tc>
          <w:tcPr>
            <w:tcW w:type="dxa" w:w="2556"/>
            <w:vAlign w:val="center"/>
          </w:tcPr>
          <w:p>
            <w:pPr>
              <w:jc w:val="center"/>
            </w:pPr>
            <w:r>
              <w:rPr>
                <w:rFonts w:ascii="Times New Roman" w:hAnsi="Times New Roman" w:eastAsia="Times New Roman"/>
                <w:b w:val="0"/>
                <w:sz w:val="17"/>
              </w:rPr>
              <w:t>31 ± 5</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 ± 0.03</w:t>
            </w:r>
          </w:p>
        </w:tc>
        <w:tc>
          <w:tcPr>
            <w:tcW w:type="dxa" w:w="2556"/>
            <w:vAlign w:val="center"/>
          </w:tcPr>
          <w:p>
            <w:pPr>
              <w:jc w:val="center"/>
            </w:pPr>
            <w:r>
              <w:rPr>
                <w:rFonts w:ascii="Times New Roman" w:hAnsi="Times New Roman" w:eastAsia="Times New Roman"/>
                <w:b w:val="0"/>
                <w:sz w:val="17"/>
              </w:rPr>
              <w:t>33 ± 9</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 ± 0.02</w:t>
            </w:r>
          </w:p>
        </w:tc>
        <w:tc>
          <w:tcPr>
            <w:tcW w:type="dxa" w:w="2556"/>
            <w:vAlign w:val="center"/>
          </w:tcPr>
          <w:p>
            <w:pPr>
              <w:jc w:val="center"/>
            </w:pPr>
            <w:r>
              <w:rPr>
                <w:rFonts w:ascii="Times New Roman" w:hAnsi="Times New Roman" w:eastAsia="Times New Roman"/>
                <w:b w:val="0"/>
                <w:sz w:val="17"/>
              </w:rPr>
              <w:t>25 ± 4</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Learned hand (H1)</w:t>
            </w:r>
          </w:p>
        </w:tc>
        <w:tc>
          <w:tcPr>
            <w:tcW w:type="dxa" w:w="2556"/>
            <w:vAlign w:val="center"/>
          </w:tcPr>
          <w:p>
            <w:pPr>
              <w:jc w:val="center"/>
            </w:pPr>
            <w:r>
              <w:rPr>
                <w:rFonts w:ascii="Times New Roman" w:hAnsi="Times New Roman" w:eastAsia="Times New Roman"/>
                <w:b w:val="0"/>
                <w:sz w:val="17"/>
              </w:rPr>
              <w:t>0.49 ± 0.07</w:t>
            </w:r>
          </w:p>
        </w:tc>
        <w:tc>
          <w:tcPr>
            <w:tcW w:type="dxa" w:w="2556"/>
            <w:vAlign w:val="center"/>
          </w:tcPr>
          <w:p>
            <w:pPr>
              <w:jc w:val="center"/>
            </w:pPr>
            <w:r>
              <w:rPr>
                <w:rFonts w:ascii="Times New Roman" w:hAnsi="Times New Roman" w:eastAsia="Times New Roman"/>
                <w:b w:val="0"/>
                <w:sz w:val="17"/>
              </w:rPr>
              <w:t>70 ± 7</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 ± 0.05</w:t>
            </w:r>
          </w:p>
        </w:tc>
        <w:tc>
          <w:tcPr>
            <w:tcW w:type="dxa" w:w="2556"/>
            <w:vAlign w:val="center"/>
          </w:tcPr>
          <w:p>
            <w:pPr>
              <w:jc w:val="center"/>
            </w:pPr>
            <w:r>
              <w:rPr>
                <w:rFonts w:ascii="Times New Roman" w:hAnsi="Times New Roman" w:eastAsia="Times New Roman"/>
                <w:b w:val="0"/>
                <w:sz w:val="17"/>
              </w:rPr>
              <w:t>40 ± 11</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 ± 0.06</w:t>
            </w:r>
          </w:p>
        </w:tc>
        <w:tc>
          <w:tcPr>
            <w:tcW w:type="dxa" w:w="2556"/>
            <w:vAlign w:val="center"/>
          </w:tcPr>
          <w:p>
            <w:pPr>
              <w:jc w:val="center"/>
            </w:pPr>
            <w:r>
              <w:rPr>
                <w:rFonts w:ascii="Times New Roman" w:hAnsi="Times New Roman" w:eastAsia="Times New Roman"/>
                <w:b w:val="0"/>
                <w:sz w:val="17"/>
              </w:rPr>
              <w:t>67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 (H1)</w:t>
            </w:r>
          </w:p>
        </w:tc>
        <w:tc>
          <w:tcPr>
            <w:tcW w:type="dxa" w:w="2556"/>
            <w:vAlign w:val="center"/>
          </w:tcPr>
          <w:p>
            <w:pPr>
              <w:jc w:val="center"/>
            </w:pPr>
            <w:r>
              <w:rPr>
                <w:rFonts w:ascii="Times New Roman" w:hAnsi="Times New Roman" w:eastAsia="Times New Roman"/>
                <w:b w:val="0"/>
                <w:sz w:val="17"/>
              </w:rPr>
              <w:t>0.48 ± 0.07</w:t>
            </w:r>
          </w:p>
        </w:tc>
        <w:tc>
          <w:tcPr>
            <w:tcW w:type="dxa" w:w="2556"/>
            <w:vAlign w:val="center"/>
          </w:tcPr>
          <w:p>
            <w:pPr>
              <w:jc w:val="center"/>
            </w:pPr>
            <w:r>
              <w:rPr>
                <w:rFonts w:ascii="Times New Roman" w:hAnsi="Times New Roman" w:eastAsia="Times New Roman"/>
                <w:b w:val="0"/>
                <w:sz w:val="17"/>
              </w:rPr>
              <w:t>64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 ± 0.09</w:t>
            </w:r>
          </w:p>
        </w:tc>
        <w:tc>
          <w:tcPr>
            <w:tcW w:type="dxa" w:w="2556"/>
            <w:vAlign w:val="center"/>
          </w:tcPr>
          <w:p>
            <w:pPr>
              <w:jc w:val="center"/>
            </w:pPr>
            <w:r>
              <w:rPr>
                <w:rFonts w:ascii="Times New Roman" w:hAnsi="Times New Roman" w:eastAsia="Times New Roman"/>
                <w:b w:val="0"/>
                <w:sz w:val="17"/>
              </w:rPr>
              <w:t>74 ± 13</w:t>
            </w:r>
          </w:p>
        </w:tc>
      </w:tr>
    </w:tbl>
    <w:p>
      <w:pPr>
        <w:ind w:firstLine="288"/>
        <w:jc w:val="both"/>
      </w:pPr>
      <w:r>
        <w:rPr>
          <w:rFonts w:ascii="Times New Roman" w:hAnsi="Times New Roman" w:eastAsia="Times New Roman"/>
          <w:b w:val="0"/>
          <w:sz w:val="20"/>
        </w:rPr>
        <w:t>Values are means ± approximate 95% confidence intervals estimated across evaluation episodes. SPC and H1 tests used 100 episodes per condition, and manual mouse tests used 20 episodes per robot policy. Learned hand (H1) denotes the fixed first-generation learned hand policy used to evaluate all three robot policies. H1 served as the training opponent for the single policy baseline and was included in the historical hand pool used for league training. TIZ denotes the fraction of the full episode horizon spent in the ZPD, and Length denotes episode length in simulation steps.</w:t>
      </w:r>
    </w:p>
    <w:p>
      <w:pPr>
        <w:ind w:firstLine="288"/>
        <w:jc w:val="both"/>
      </w:pPr>
      <w:r>
        <w:rPr>
          <w:rFonts w:ascii="Times New Roman" w:hAnsi="Times New Roman" w:eastAsia="Times New Roman"/>
          <w:b w:val="0"/>
          <w:sz w:val="20"/>
        </w:rPr>
        <w:t>The two baselines without league training show complementary forms of specialization. The SPC baseline remains most suitable for the scripted pursuit controller but degrades under H1 and manual pursuit. The single policy baseline performs well against its H1 training opponent but loses robustness when the pursuit behavior changes to scripted or manual control. The league policy gives the most balanced profile across all three conditions, preserving performance under H1 while improving the scripted and manual 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pPr>
        <w:pStyle w:val="Heading2"/>
      </w:pPr>
      <w:r>
        <w:t>D. Online Physical Deployment</w:t>
      </w:r>
    </w:p>
    <w:p>
      <w:pPr>
        <w:ind w:firstLine="288"/>
        <w:jc w:val="both"/>
      </w:pPr>
      <w:r>
        <w:rPr>
          <w:rFonts w:ascii="Times New Roman" w:hAnsi="Times New Roman" w:eastAsia="Times New Roman"/>
          <w:b w:val="0"/>
          <w:sz w:val="20"/>
        </w:rPr>
        <w:t>The policy trained in simulation was deployed on the UR10 microrobot platform to evaluate zero-shot transfer with real hand input. In each rollout, a healthy pilot pursued the passive microrobot on the acrylic workspace while the UR10 moved the magnetic actuator beneath the surface. The policy received no further training on the physical platform, and the dataset contains nine zero-shot rollouts from one pilot session. The camera and UR10 command loops provided real-time control, and policy inference was fast enough to support online interaction with continuous feedback.</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features describing workspace boundaries, the previous executed robot command, and the recent history of relative hand displacement, matching the categories in (6) and (7). UR10 telemetry and end-effector pose were not provided to the policy; RTDE pose readback was used only for Cartesian command execution and monitoring over Ethernet. The camera tracking pipeline handled perception and calibration through YOLO microrobot detection, MediaPipe hand tracking, and a homography that mapped image coordinates to workspace coordinates. During short gaps in hand tracking, the controller extrapolated motion from the last measured hand velocity. Safety constraints included workspace clipping, limits on command increments, automatic stopping after 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traces in Fig. 5(b) are aligned in time, linking the observed configurations to changes in hand speed, robot speed, and separation. During steady pursuit, the distance remains within or close to the target ZPD band. When the hand accelerates sharply, the separation briefly falls below the target ZPD band as the hand closes rapidly on the microrobot. Robot speed then increases, and the distance re-enters the target ZPD band within the following few seconds. As the hand subsequently decelerates, the change in relative motion produces another short deviation. Robot speed decreases after the slowdown, and the distance again returns toward the target ZPD band. Similar coupled changes later in the rollout show that the policy modifies microrobot motion as the pursuit dynamics change rather than maintaining a fixed-speed escape response. The final sustained decrease in distance corresponds to catch and episode termination. This representative trial therefore supports the ability of the simulation-trained policy to respond online to abrupt changes in hand motion and restore the intended interaction range after transient disturbances.</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distance between the hand and microrobot,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