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96122" w14:textId="77777777" w:rsidR="003F4541" w:rsidRDefault="00593922">
      <w:pPr>
        <w:jc w:val="center"/>
      </w:pPr>
      <w:r>
        <w:rPr>
          <w:b/>
          <w:sz w:val="28"/>
        </w:rPr>
        <w:t>Stage Manuscript Draft: Methods, Experiments, and Physical Deployment</w:t>
      </w:r>
    </w:p>
    <w:p w14:paraId="71502CF1" w14:textId="77777777" w:rsidR="003F4541" w:rsidRDefault="00593922">
      <w:pPr>
        <w:jc w:val="center"/>
      </w:pPr>
      <w:r>
        <w:rPr>
          <w:i/>
          <w:sz w:val="18"/>
        </w:rPr>
        <w:t>Abstract, Introduction, Discussion, Conclusion, and References remain to be finalized.</w:t>
      </w:r>
    </w:p>
    <w:p w14:paraId="2BD9005B" w14:textId="77777777" w:rsidR="003F4541" w:rsidRDefault="00593922">
      <w:pPr>
        <w:ind w:firstLine="288"/>
        <w:jc w:val="both"/>
      </w:pPr>
      <w:r>
        <w:t xml:space="preserve">Stage manuscript draft revised from </w:t>
      </w:r>
      <w:r>
        <w:t>`methodology_ieee_v2.50_restore_standard_compounds.md`. This version corrects equations (3)–(5) and their immediate variable definitions.</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w:t>
      </w:r>
      <w:r>
        <w:t>.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w:t>
      </w:r>
      <w:r>
        <w:t xml:space="preserve">eneath the workspace, and a permanent magnet is mounted on its end effector to drive the microrobot above. In the interaction layer, an acrylic sheet 5 mm thick supports the unpowered microrobot and forms a physical barrier between the robotic arm and the </w:t>
      </w:r>
      <w:r>
        <w:t>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w:t>
      </w:r>
      <w:r>
        <w:t>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77777777" w:rsidR="003F4541" w:rsidRDefault="00593922">
      <w:pPr>
        <w:ind w:firstLine="288"/>
        <w:jc w:val="both"/>
      </w:pPr>
      <w:r>
        <w:t>We cast the task as a pursuit interaction with continuous feedback on a flat work</w:t>
      </w:r>
      <w:r>
        <w:t>space. The participant's hand is the pursuer, and the microrobot is a moving target driven beneath the acrylic surface. The participant attempts to approach and catch the microrobot while the robot adjusts target motion to keep the task challenging but rea</w:t>
      </w:r>
      <w:r>
        <w:t>chable. Unlike static reaching, the target continues to move after the participant initiates a movement. The task requires continuous tracking, anticipation, and correction rather than a single reaching movement [1].</w:t>
      </w:r>
    </w:p>
    <w:p w14:paraId="3D6DC1E3" w14:textId="77777777" w:rsidR="003F4541" w:rsidRDefault="00593922">
      <w:pPr>
        <w:ind w:firstLine="288"/>
        <w:jc w:val="both"/>
      </w:pPr>
      <w:r>
        <w:t xml:space="preserve">The Zone of Proximal Development (ZPD) </w:t>
      </w:r>
      <w:r>
        <w:t>is defined operationally as a target range for the distance between the hand and microrobot [2]. In this study, the target ZPD band was established after workspace calibration. It was selected for the desktop pilot platform to leave enough separation to av</w:t>
      </w:r>
      <w:r>
        <w:t>oid immediate catch while keeping the microrobot visually and physically reachable. This operating band is specific to the platform rather than a universal clinical threshold. Use with patients would require calibration during each session according to mov</w:t>
      </w:r>
      <w:r>
        <w:t>ement range, speed, and therapeutic goal. The robot should keep the interaction inside the target ZPD band rather than escaping completely or yielding passively. Hand speed, pursuit strategy, response delay, and motion noise can all change during interacti</w:t>
      </w:r>
      <w:r>
        <w:t>on, making fixed difficulty settings inadequate.</w:t>
      </w:r>
    </w:p>
    <w:p w14:paraId="50EEF571" w14:textId="77777777" w:rsidR="00050836" w:rsidRPr="00050836" w:rsidRDefault="00050836" w:rsidP="00050836">
      <w:pPr>
        <w:ind w:firstLine="288"/>
        <w:jc w:val="both"/>
      </w:pPr>
      <w:r w:rsidRPr="00050836">
        <w:t xml:space="preserve">Classical artificial potential field and rule-based reactive controllers provide intuitive solutions for regulating the motion of a target relative to a pursuer.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w:t>
      </w:r>
      <w:r w:rsidRPr="00050836">
        <w:lastRenderedPageBreak/>
        <w:t>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w:t>
      </w:r>
      <w:r>
        <w:t>or robot training, the reward is written as the sum of four intuitive terms: distance regulation, action smoothness, workspace safety, and catch avoidance. Let d_t be the distance between the hand and microrobot, a_</w:t>
      </w:r>
      <w:r>
        <w:t>t be the robot action, and p_R,t be the microrobot position. The robot reward optimized by PPO is summarized as</w:t>
      </w:r>
    </w:p>
    <w:p w14:paraId="4C5FB8EE" w14:textId="77777777" w:rsidR="003F4541" w:rsidRDefault="00593922">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m:t>
              </m:r>
              <m:r>
                <m: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m:t>
              </m:r>
              <m:r>
                <m:t>,</m:t>
              </m:r>
              <m:r>
                <m:t>t</m:t>
              </m:r>
            </m:sub>
          </m:sSub>
          <m:r>
            <m:t xml:space="preserve">) + </m:t>
          </m:r>
          <m:sSub>
            <m:sSubPr>
              <m:ctrlPr/>
            </m:sSubPr>
            <m:e>
              <m:r>
                <m:t>r</m:t>
              </m:r>
            </m:e>
            <m:sub>
              <m:r>
                <m:t>catc</m:t>
              </m:r>
              <m:r>
                <m:t>h</m:t>
              </m:r>
            </m:sub>
          </m:sSub>
          <m:r>
            <m:t>(</m:t>
          </m:r>
          <m:sSub>
            <m:sSubPr>
              <m:ctrlPr/>
            </m:sSubPr>
            <m:e>
              <m:r>
                <m:t>d</m:t>
              </m:r>
            </m:e>
            <m:sub>
              <m:r>
                <m:t>t</m:t>
              </m:r>
            </m:sub>
          </m:sSub>
          <m:r>
            <m:t>)    (1)</m:t>
          </m:r>
        </m:oMath>
      </m:oMathPara>
    </w:p>
    <w:p w14:paraId="0F46582F" w14:textId="77777777" w:rsidR="003F4541" w:rsidRDefault="00593922">
      <w:pPr>
        <w:ind w:firstLine="288"/>
        <w:jc w:val="both"/>
      </w:pPr>
      <w:r>
        <w:t xml:space="preserve">Equation (1) groups the robot reward into four </w:t>
      </w:r>
      <w:r>
        <w:t>components. The distance component r_dist(d_t) encourages the separation between the hand and microrobot to remain inside the target ZPD band and penalizes deviations on either side. The smoothness component r_smooth(a_t) discourages abrupt commanded motio</w:t>
      </w:r>
      <w:r>
        <w:t>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rsidRPr="00E80366">
        <w:t>To improve robustness to diverse hand behaviors, we apply domain randomization to both pursuit strategy and motor execution.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93922">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w:t>
      </w:r>
      <w:r>
        <w:t>de ρ_ep is sampled once at episode reset and then held fixed. The direction q_t follows a pursuit rule with ε exploration. With probability 1 - ε, q_t points from the current hand position toward the microrobot. With probability ε, q_t is sampled uniformly</w:t>
      </w:r>
      <w:r>
        <w:t xml:space="preserve">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w:t>
      </w:r>
      <w:r>
        <w:t xml:space="preserve"> denote the intended hand velocity, v_t denote the executed velocity, and ṽ_t denote the filtered target velocity. Motion smoothing is applied as</w:t>
      </w:r>
    </w:p>
    <w:p w14:paraId="54837308" w14:textId="77777777" w:rsidR="003F4541" w:rsidRDefault="00593922">
      <w:pPr>
        <w:pStyle w:val="DisplayEquation"/>
        <w:spacing w:before="60" w:after="60"/>
        <w:jc w:val="center"/>
      </w:pPr>
      <m:oMathPara>
        <m:oMath>
          <m:sSub>
            <m:sSubPr>
              <m:ctrlPr/>
            </m:sSubPr>
            <m:e>
              <m:r>
                <m:t>ṽ</m:t>
              </m:r>
            </m:e>
            <m:sub>
              <m:r>
                <m:t>t</m:t>
              </m:r>
            </m:sub>
          </m:sSub>
          <m:r>
            <m:t xml:space="preserve"> = </m:t>
          </m:r>
          <m:r>
            <m:t>α</m:t>
          </m:r>
          <m:sSub>
            <m:sSubPr>
              <m:ctrlPr/>
            </m:sSubPr>
            <m:e>
              <m:r>
                <m:t>u</m:t>
              </m:r>
            </m:e>
            <m:sub>
              <m:r>
                <m:t>t</m:t>
              </m:r>
            </m:sub>
          </m:sSub>
          <m:r>
            <m:t xml:space="preserve"> + (1-</m:t>
          </m:r>
          <m:r>
            <m:t>α</m:t>
          </m:r>
          <m:r>
            <m:t>)</m:t>
          </m:r>
          <m:sSub>
            <m:sSubPr>
              <m:ctrlPr/>
            </m:sSubPr>
            <m:e>
              <m:r>
                <m:t>v</m:t>
              </m:r>
            </m:e>
            <m:sub>
              <m:r>
                <m:t>t</m:t>
              </m:r>
              <m:r>
                <m:t>-</m:t>
              </m:r>
              <m:r>
                <m:t>1</m:t>
              </m:r>
            </m:sub>
          </m:sSub>
          <m:r>
            <m:t xml:space="preserve">    (3)</m:t>
          </m:r>
        </m:oMath>
      </m:oMathPara>
    </w:p>
    <w:p w14:paraId="51E0DE3C" w14:textId="77777777" w:rsidR="003F4541" w:rsidRDefault="00593922">
      <w:pPr>
        <w:ind w:firstLine="288"/>
        <w:jc w:val="both"/>
      </w:pPr>
      <w:r>
        <w:t xml:space="preserve">The change from the previous executed velocity is then limited by its </w:t>
      </w:r>
      <w:r>
        <w:t>Euclidean norm,</w:t>
      </w:r>
    </w:p>
    <w:p w14:paraId="3ABA85F4" w14:textId="2197EA4B" w:rsidR="003F4541" w:rsidRDefault="00593922">
      <w:pPr>
        <w:pStyle w:val="DisplayEquation"/>
        <w:spacing w:before="60" w:after="60"/>
        <w:jc w:val="center"/>
      </w:pPr>
      <m:oMathPara>
        <m:oMath>
          <m:sSub>
            <m:sSubPr>
              <m:ctrlPr/>
            </m:sSubPr>
            <m:e>
              <m:r>
                <m:t>v</m:t>
              </m:r>
            </m:e>
            <m:sub>
              <m:r>
                <m:t>t</m:t>
              </m:r>
            </m:sub>
          </m:sSub>
          <m:r>
            <m:t xml:space="preserve"> = </m:t>
          </m:r>
          <m:sSub>
            <m:sSubPr>
              <m:ctrlPr/>
            </m:sSubPr>
            <m:e>
              <m:r>
                <m:t>v</m:t>
              </m:r>
            </m:e>
            <m:sub>
              <m:r>
                <m:t>t</m:t>
              </m:r>
              <m:r>
                <m:t>-</m:t>
              </m:r>
              <m:r>
                <m:t>1</m:t>
              </m:r>
            </m:sub>
          </m:sSub>
          <m:r>
            <m:t xml:space="preserve"> + </m:t>
          </m:r>
          <m:r>
            <m:t>clip</m:t>
          </m:r>
          <m:r>
            <m:t>(</m:t>
          </m:r>
          <m:sSub>
            <m:sSubPr>
              <m:ctrlPr/>
            </m:sSubPr>
            <m:e>
              <m:r>
                <m:t>ṽ</m:t>
              </m:r>
            </m:e>
            <m:sub>
              <m:r>
                <m:t>t</m:t>
              </m:r>
            </m:sub>
          </m:sSub>
          <m:r>
            <m:t>-</m:t>
          </m:r>
          <m:sSub>
            <m:sSubPr>
              <m:ctrlPr/>
            </m:sSubPr>
            <m:e>
              <m:r>
                <m:t>v</m:t>
              </m:r>
            </m:e>
            <m:sub>
              <m:r>
                <m:t>t</m:t>
              </m:r>
              <m:r>
                <m:t>-</m:t>
              </m:r>
              <m:r>
                <m:t>1</m:t>
              </m:r>
            </m:sub>
          </m:sSub>
          <m:r>
            <m:t xml:space="preserve">, </m:t>
          </m:r>
          <m:sSub>
            <m:sSubPr>
              <m:ctrlPr/>
            </m:sSubPr>
            <m:e>
              <m:r>
                <m:t>a</m:t>
              </m:r>
            </m:e>
            <m:sub>
              <m:r>
                <m:t>max</m:t>
              </m:r>
            </m:sub>
          </m:sSub>
          <m:r>
            <m:t>)    (4)</m:t>
          </m:r>
        </m:oMath>
      </m:oMathPara>
    </w:p>
    <w:p w14:paraId="20B1B989" w14:textId="6829E7B8" w:rsidR="003F4541" w:rsidRDefault="00593922">
      <w:pPr>
        <w:ind w:firstLine="288"/>
        <w:jc w:val="both"/>
      </w:pPr>
      <w:r>
        <w:t>Here, clip</w:t>
      </w:r>
      <w:r>
        <w:t xml:space="preserve">(z, </w:t>
      </w:r>
      <w:proofErr w:type="spellStart"/>
      <w:r>
        <w:t>a_max</w:t>
      </w:r>
      <w:proofErr w:type="spellEnd"/>
      <w:r>
        <w:t>) returns z when its Euclidean norm does not exceed a_max and otherwise rescales it to have norm a_max. The executed velocity updates the simulated han</w:t>
      </w:r>
      <w:r>
        <w:t>d position,</w:t>
      </w:r>
    </w:p>
    <w:p w14:paraId="5D2772B7" w14:textId="77777777" w:rsidR="003F4541" w:rsidRDefault="00593922">
      <w:pPr>
        <w:pStyle w:val="DisplayEquation"/>
        <w:spacing w:before="60" w:after="60"/>
        <w:jc w:val="center"/>
      </w:pPr>
      <m:oMathPara>
        <m:oMath>
          <m:sSub>
            <m:sSubPr>
              <m:ctrlPr/>
            </m:sSubPr>
            <m:e>
              <m:r>
                <m:t>p</m:t>
              </m:r>
            </m:e>
            <m:sub>
              <m:r>
                <m:t>H</m:t>
              </m:r>
              <m:r>
                <m:t>,</m:t>
              </m:r>
              <m:r>
                <m:t>t</m:t>
              </m:r>
              <m:r>
                <m:t>+1</m:t>
              </m:r>
            </m:sub>
          </m:sSub>
          <m:r>
            <m:t xml:space="preserve"> = </m:t>
          </m:r>
          <m:sSub>
            <m:sSubPr>
              <m:ctrlPr/>
            </m:sSubPr>
            <m:e>
              <m:r>
                <m:t>p</m:t>
              </m:r>
            </m:e>
            <m:sub>
              <m:r>
                <m:t>H</m:t>
              </m:r>
              <m:r>
                <m:t>,</m:t>
              </m:r>
              <m:r>
                <m:t>t</m:t>
              </m:r>
            </m:sub>
          </m:sSub>
          <m:r>
            <m:t xml:space="preserve"> + </m:t>
          </m:r>
          <m:sSub>
            <m:sSubPr>
              <m:ctrlPr/>
            </m:sSubPr>
            <m:e>
              <m:r>
                <m:t>v</m:t>
              </m:r>
            </m:e>
            <m:sub>
              <m:r>
                <m:t>t</m:t>
              </m:r>
            </m:sub>
          </m:sSub>
          <m:r>
            <m:t xml:space="preserve">    (5)</m:t>
          </m:r>
        </m:oMath>
      </m:oMathPara>
    </w:p>
    <w:p w14:paraId="4D68CE4A" w14:textId="77777777" w:rsidR="003F4541" w:rsidRDefault="00593922">
      <w:pPr>
        <w:ind w:firstLine="288"/>
        <w:jc w:val="both"/>
      </w:pPr>
      <w:r>
        <w:t>Equation (5) defines the core kinematic update. The delay and noise parameters in Table I are applied separately by the motor execution layer. This formulation allows a constant intended velocity to converge to</w:t>
      </w:r>
      <w:r>
        <w:t xml:space="preserve"> a constant executed velocity rather than causing the hand motion to vanish.</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inertia</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acceleration</w:t>
            </w:r>
          </w:p>
        </w:tc>
        <w:tc>
          <w:tcPr>
            <w:tcW w:w="3408" w:type="dxa"/>
            <w:vAlign w:val="center"/>
          </w:tcPr>
          <w:p w14:paraId="43F91444" w14:textId="77777777" w:rsidR="003F4541" w:rsidRDefault="00593922">
            <w:pPr>
              <w:jc w:val="center"/>
            </w:pPr>
            <w:r>
              <w:rPr>
                <w:sz w:val="17"/>
              </w:rPr>
              <w:t>a_max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 xml:space="preserve">Uniform </w:t>
            </w:r>
            <w:r>
              <w:rPr>
                <w:sz w:val="17"/>
              </w:rPr>
              <w:t>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w:t>
      </w:r>
      <w:r>
        <w:t xml:space="preserve"> dimensions, as shown in (6).</w:t>
      </w:r>
    </w:p>
    <w:p w14:paraId="7728EC98" w14:textId="77777777" w:rsidR="003F4541" w:rsidRDefault="00593922">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m:t>
              </m:r>
              <m:r>
                <m:t>-</m:t>
              </m:r>
              <m:r>
                <m:t>T</m:t>
              </m:r>
              <m:r>
                <m:t>:</m:t>
              </m:r>
              <m:r>
                <m: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93922">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m:t>
          </m:r>
          <m:r>
            <m:t>d</m:t>
          </m:r>
          <m:r>
            <m:t>(</m:t>
          </m:r>
          <m:r>
            <m:t>R</m:t>
          </m:r>
          <m:r>
            <m:t>,</m:t>
          </m:r>
          <m:r>
            <m:t>H</m:t>
          </m:r>
          <m:r>
            <m:t xml:space="preserve">);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m:t>
          </m:r>
          <m:r>
            <m:t>stride</m:t>
          </m:r>
          <m:r>
            <m:t xml:space="preserve">; </m:t>
          </m:r>
          <m:sSub>
            <m:sSubPr>
              <m:ctrlPr/>
            </m:sSubPr>
            <m:e>
              <m:r>
                <m:t>a</m:t>
              </m:r>
            </m:e>
            <m:sub>
              <m:r>
                <m:t>t</m:t>
              </m:r>
              <m:r>
                <m:t>-</m:t>
              </m:r>
              <m:r>
                <m:t>1</m:t>
              </m:r>
            </m:sub>
          </m:sSub>
          <m:r>
            <m:t>]    (7)</m:t>
          </m:r>
        </m:oMath>
      </m:oMathPara>
    </w:p>
    <w:p w14:paraId="15F196C8" w14:textId="77777777" w:rsidR="003F4541" w:rsidRDefault="00593922">
      <w:pPr>
        <w:ind w:firstLine="288"/>
        <w:jc w:val="both"/>
      </w:pPr>
      <w:r>
        <w:t>Here, p_R</w:t>
      </w:r>
      <w:r>
        <w:t xml:space="preserve"> and p_H denote the 2D positions of the microrobot and the hand. d(R,H) is their Euclidean distance. b_N, b_S, b_E, and b_W denote signed distances to the workspace boundaries. The variables stride and a_{t-1} represent the current movement step size and t</w:t>
      </w:r>
      <w:r>
        <w:t>he previous robot action, respectively.</w:t>
      </w:r>
    </w:p>
    <w:p w14:paraId="70323226" w14:textId="77777777" w:rsidR="003F4541" w:rsidRDefault="00593922">
      <w:pPr>
        <w:ind w:firstLine="288"/>
        <w:jc w:val="both"/>
      </w:pPr>
      <w:r>
        <w:t xml:space="preserve">The temporal buffer h_{t-T:t} contains the T = 16 most recent relative hand displacement vectors, forming a sequence with 32 dimensions. This sequence helps the encoder estimate motion direction, response delay, and </w:t>
      </w:r>
      <w:r>
        <w:t>oscillatory behavior that are unavailable from the current position alone. Relative displacements make the representation invariant to translation, so the recurrent stream focuses on how the hand is moving rather than where the interaction occurs in the wo</w:t>
      </w:r>
      <w:r>
        <w:t>rkspace.</w:t>
      </w:r>
    </w:p>
    <w:p w14:paraId="50BABE2F" w14:textId="77777777" w:rsidR="003F4541" w:rsidRDefault="00593922">
      <w:pPr>
        <w:ind w:firstLine="288"/>
        <w:jc w:val="both"/>
      </w:pPr>
      <w:r>
        <w:t xml:space="preserve">The scalar vector and temporal buffer are encoded in separate streams, as shown in Fig. 2. A multilayer perceptron (MLP) extracts geometric information from the scalar state, while a gated recurrent unit (GRU) processes the displacement sequence. </w:t>
      </w:r>
      <w:r>
        <w:t>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 xml:space="preserve">Fig. 2. Dual-stream policy architecture with auxiliary dynamics prediction. The spatial branch encodes the </w:t>
      </w:r>
      <w:r>
        <w:t>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w:t>
      </w:r>
      <w:r>
        <w:t>vises the encoder only indirectly through policy optimization. An auxiliary dynamics head adds a denser learning signal for motion representation. The head predicts relative hand displacement over a horizon of eight steps. Future displacements are availabl</w:t>
      </w:r>
      <w:r>
        <w:t>e from the rollout, so this self-supervised auxiliary task requires no additional annotation.</w:t>
      </w:r>
    </w:p>
    <w:p w14:paraId="1DE435C0" w14:textId="77777777" w:rsidR="003F4541" w:rsidRDefault="00593922">
      <w:pPr>
        <w:ind w:firstLine="288"/>
        <w:jc w:val="both"/>
      </w:pPr>
      <w:r>
        <w:t>The trajectory prediction loss is given in (8).</w:t>
      </w:r>
    </w:p>
    <w:p w14:paraId="56EECD55" w14:textId="77777777" w:rsidR="003F4541" w:rsidRDefault="00593922">
      <w:pPr>
        <w:pStyle w:val="DisplayEquation"/>
        <w:spacing w:before="60" w:after="60"/>
        <w:jc w:val="center"/>
      </w:pPr>
      <m:oMathPara>
        <m:oMath>
          <m:sSub>
            <m:sSubPr>
              <m:ctrlPr/>
            </m:sSubPr>
            <m:e>
              <m:r>
                <m:t>L</m:t>
              </m:r>
            </m:e>
            <m:sub>
              <m:r>
                <m:t>traj</m:t>
              </m:r>
            </m:sub>
          </m:sSub>
          <m:r>
            <m:t xml:space="preserve"> = </m:t>
          </m:r>
          <m:r>
            <m:t>E</m:t>
          </m:r>
          <m:r>
            <m:t>[</m:t>
          </m:r>
          <m:sSup>
            <m:sSupPr>
              <m:ctrlPr/>
            </m:sSupPr>
            <m:e>
              <m:r>
                <m:t>‖</m:t>
              </m:r>
              <m:sSub>
                <m:sSubPr>
                  <m:ctrlPr/>
                </m:sSubPr>
                <m:e>
                  <m:r>
                    <m:t>D̂</m:t>
                  </m:r>
                </m:e>
                <m:sub>
                  <m:r>
                    <m:t>t</m:t>
                  </m:r>
                  <m:r>
                    <m:t>+1:</m:t>
                  </m:r>
                  <m:r>
                    <m:t>t</m:t>
                  </m:r>
                  <m:r>
                    <m:t>+</m:t>
                  </m:r>
                  <m:r>
                    <m:t>H</m:t>
                  </m:r>
                </m:sub>
              </m:sSub>
              <m:r>
                <m:t>-</m:t>
              </m:r>
              <m:sSub>
                <m:sSubPr>
                  <m:ctrlPr/>
                </m:sSubPr>
                <m:e>
                  <m:r>
                    <m:t>D</m:t>
                  </m:r>
                </m:e>
                <m:sub>
                  <m:r>
                    <m:t>t</m:t>
                  </m:r>
                  <m:r>
                    <m:t>+1:</m:t>
                  </m:r>
                  <m:r>
                    <m:t>t</m:t>
                  </m:r>
                  <m:r>
                    <m:t>+</m:t>
                  </m:r>
                  <m:r>
                    <m:t>H</m:t>
                  </m:r>
                </m:sub>
              </m:sSub>
              <m:r>
                <m:t>‖₂</m:t>
              </m:r>
            </m:e>
            <m:sup>
              <m:r>
                <m:t>2</m:t>
              </m:r>
            </m:sup>
          </m:sSup>
          <m:r>
            <m:t xml:space="preserve">],  </m:t>
          </m:r>
          <m:r>
            <m:t>H</m:t>
          </m:r>
          <m:r>
            <m:t>=8    (8)</m:t>
          </m:r>
        </m:oMath>
      </m:oMathPara>
    </w:p>
    <w:p w14:paraId="224813C4" w14:textId="77777777" w:rsidR="003F4541" w:rsidRDefault="00593922">
      <w:pPr>
        <w:ind w:firstLine="288"/>
        <w:jc w:val="both"/>
      </w:pPr>
      <w:r>
        <w:t>Here, D_hat_{t+1:t+H} is the predicted future displa</w:t>
      </w:r>
      <w:r>
        <w:t>cement sequence, and D_{t+1:t+H} is the observed future displacement sequence. The full training objective combines the PPO loss with the auxiliary trajectory prediction loss in (9).</w:t>
      </w:r>
    </w:p>
    <w:p w14:paraId="422B1088" w14:textId="77777777" w:rsidR="003F4541" w:rsidRDefault="00593922">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298A5734" w:rsidR="003F4541" w:rsidRDefault="00F772BD">
      <w:pPr>
        <w:ind w:firstLine="288"/>
        <w:jc w:val="both"/>
      </w:pPr>
      <w:r w:rsidRPr="00F772BD">
        <w:t>The coefficient</w:t>
      </w:r>
      <w:r>
        <w:t xml:space="preserve"> </w:t>
      </w:r>
      <w:proofErr w:type="spellStart"/>
      <w:r w:rsidR="00593922">
        <w:t>lambda_traj</w:t>
      </w:r>
      <w:proofErr w:type="spellEnd"/>
      <w:r w:rsidR="00593922">
        <w:t xml:space="preserve"> c</w:t>
      </w:r>
      <w:r w:rsidR="00593922">
        <w:t>ontrols the auxiliary loss weight. Because the auxiliary dynamics head shares the encoder with the policy, its gradients also update the spatial and temporal streams. These gradients encourage the encoder to capture motion inertia, delay, and interaction d</w:t>
      </w:r>
      <w:r w:rsidR="00593922">
        <w:t>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w:t>
      </w:r>
      <w:r>
        <w:t>and policies the robot encounters during training. A robot trained against a single hand policy may overspecialize and fail when the pursuit strategy changes. Simultaneous training of the robot and hand creates a different problem because both agents joint</w:t>
      </w:r>
      <w:r>
        <w:t>ly determine the next state and return. Updating both policies together changes each agent's effective environment, violating the stationarity assumption used by PPO. In practice, the interaction can enter a cycle in which the robot exploits the current ha</w:t>
      </w:r>
      <w:r>
        <w:t>nd policy, the hand adapts, and the robot loses strategies that were useful against earlier hands.</w:t>
      </w:r>
    </w:p>
    <w:p w14:paraId="323FBF4C" w14:textId="77777777" w:rsidR="003F4541" w:rsidRDefault="00593922">
      <w:pPr>
        <w:ind w:firstLine="288"/>
        <w:jc w:val="both"/>
      </w:pPr>
      <w:r>
        <w:t>The training schedule separates the two sides of learning and retains older hand behaviors in a shared pool. During robot training, sampled hand policies are</w:t>
      </w:r>
      <w:r>
        <w:t xml:space="preserve"> fixed and treated as part of the environment. During hand training, the robot policy is fixed. The robot is trained against a pool P containing the SPC and learned hand policies from previous stages. This pool exposes the robot to direct pursuit as well a</w:t>
      </w:r>
      <w:r>
        <w:t>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w:t>
      </w:r>
      <w:r>
        <w:t>ocedure. Each iteration first trains the robot against hands sampled from the fixed pool. It then trains a new hand policy against the frozen robot, initializes that hand from the previous learned hand when available, and adds the resulting policy to the p</w:t>
      </w:r>
      <w:r>
        <w:t>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π_R^(0), scripted pursuit controller π_H^SPC, number of league iterations N.</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P ← {π_H^SPC}.</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n = 1, 2, ..., N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2. Train robot policy π_R^(n) with PPO against hand policies sampled from P.</w:t>
            </w:r>
          </w:p>
        </w:tc>
      </w:tr>
      <w:tr w:rsidR="003F4541" w14:paraId="7503184B" w14:textId="77777777">
        <w:trPr>
          <w:jc w:val="center"/>
        </w:trPr>
        <w:tc>
          <w:tcPr>
            <w:tcW w:w="10224" w:type="dxa"/>
          </w:tcPr>
          <w:p w14:paraId="564A21E4" w14:textId="77777777" w:rsidR="003F4541" w:rsidRDefault="00593922">
            <w:pPr>
              <w:ind w:left="259"/>
            </w:pPr>
            <w:r>
              <w:rPr>
                <w:sz w:val="18"/>
              </w:rPr>
              <w:t>3. Initialize hand policy π_H^(n) from π_H^(n-1)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π_H^(n) against the frozen </w:t>
            </w:r>
            <w:r>
              <w:rPr>
                <w:sz w:val="18"/>
              </w:rPr>
              <w:t>robot policy π_R^(n).</w:t>
            </w:r>
          </w:p>
        </w:tc>
      </w:tr>
      <w:tr w:rsidR="003F4541" w14:paraId="421289BD" w14:textId="77777777">
        <w:trPr>
          <w:jc w:val="center"/>
        </w:trPr>
        <w:tc>
          <w:tcPr>
            <w:tcW w:w="10224" w:type="dxa"/>
          </w:tcPr>
          <w:p w14:paraId="4081792D" w14:textId="77777777" w:rsidR="003F4541" w:rsidRDefault="00593922">
            <w:pPr>
              <w:ind w:left="259"/>
            </w:pPr>
            <w:r>
              <w:rPr>
                <w:sz w:val="18"/>
              </w:rPr>
              <w:t>5. Update pool of hand policies P ← P ∪ {π_H^(n)}.</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Recent episode length provides a</w:t>
      </w:r>
      <w:r>
        <w:t xml:space="preserve"> simple competitiveness signal. Short episodes usually indicate that the hand quickly catches the microrobot or forces early termination, so the corresponding hand should be sampled more often during the next phase of robot training. For learned hand i, le</w:t>
      </w:r>
      <w:r>
        <w:t>t l_bar_i be its recent mean episode length. Its sampling score is inversely related to this length and is smoothed with a uniform mixture.</w:t>
      </w:r>
    </w:p>
    <w:p w14:paraId="15612FEA" w14:textId="77777777" w:rsidR="003F4541" w:rsidRDefault="00593922">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m:t>
          </m:r>
          <m:r>
            <m:t>μ</m:t>
          </m:r>
          <m:r>
            <m:t>)</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w:t>
      </w:r>
      <w:r>
        <w:t xml:space="preserve"> small stabilizing constant, and μ controls the uniform exploration mass. The SPC remains in the pool with a fixed sampling probability, while the probability assigned to learned hands follows (10). This keeps the scripted pursuit behavior available and co</w:t>
      </w:r>
      <w:r>
        <w:t>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w:t>
      </w:r>
      <w:r>
        <w:t xml:space="preserve">ments measure robustness across hand behaviors and isolate the contribution of temporal encoding of hand history. The physical deployment test evaluates whether the learned policy can run online within the perception and control stack of the UR10 platform </w:t>
      </w:r>
      <w:r>
        <w:t>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 xml:space="preserve">The simulation study separates two sources of performance gain in the proposed framework. The league analysis tests whether expanding the </w:t>
      </w:r>
      <w:r>
        <w:t>pool of hand policies improves robustness across pursuit behaviors. The ablation analysis tests whether temporal encoding of hand motion and the auxiliary dynamics objective improve the learned robot representation. Both analyses use the simulation environ</w:t>
      </w:r>
      <w:r>
        <w:t>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w:t>
      </w:r>
      <w:r>
        <w:t xml:space="preserve">. A timestep was counted as within the zone when the distance between the hand and microrobot fell inside the target ZPD band. The simulator and the physical workspace share the same calibrated coordinate convention, so one workspace unit corresponds to 1 </w:t>
      </w:r>
      <w:r>
        <w:t>cm after calibration and can be compared directly with physical rollout distances. The physical rollout in Section IV.D used the same target ZPD band for zero-shot consistency, not to suggest that this operating setting is clinically optimal for every user</w:t>
      </w:r>
      <w:r>
        <w:t>.</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w:t>
      </w:r>
      <w:r>
        <w:t xml:space="preserve"> the interaction remains active before catch, workspace exit, or the maximum horizon. For the league analysis, robustness across learned hand policies is summarized by mean TIZ and by the lowest TIZ among the tested hands. For the network ablation, TIZ is </w:t>
      </w:r>
      <w:r>
        <w:t>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 xml:space="preserve">The comparison of training protocols uses an SPC baseline trained only against the stochastic scripted pursuit </w:t>
      </w:r>
      <w:r>
        <w:t>controller, a single policy baseline trained against one learned hand policy, and a league policy trained through iterative expansion of the hand pool. The robot policies are evaluated across learned hand generations in Fig. 3 and under three representativ</w:t>
      </w:r>
      <w:r>
        <w:t>e pursuit conditions in Table II. The representation comparison keeps the training setting fixed while changing the policy encoder. The MLP baseline uses instantaneous geometry, the GRU policy adds recent relative hand displacement, and the auxiliary GRU p</w:t>
      </w:r>
      <w:r>
        <w:t>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w:t>
      </w:r>
      <w:r>
        <w:t xml:space="preserve">erformance against the most recent hand policy. After each robot generation is trained, it is evaluated against all learned hand generations in the pool. This separates generalization across hand behaviors from progress against a single training opponent. </w:t>
      </w:r>
      <w:r>
        <w:t>In Fig. 3(a), each row fixes one robot generation and each column fixes one learned hand generation. Early robot generations perform well only for limited parts of the hand pool, whereas later generations maintain stronger TIZ over a broader set of learned</w:t>
      </w:r>
      <w:r>
        <w:t xml:space="preserve"> hands, suggesting reduced specialization. Fig. 3(b) summarizes the same matrix through mean TIZ and the lowest TIZ across tested hands. The mean curve reflects typical performance, and the lower curve tracks the most difficult learned hand for each robot </w:t>
      </w:r>
      <w:r>
        <w:t>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w:t>
      </w:r>
      <w:r>
        <w:t>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r>
        <w:t/>
      </w:r>
      <w:r>
        <w:t/>
      </w:r>
      <w:r>
        <w:t/>
      </w:r>
      <w:r>
        <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3F4541" w14:paraId="18D84A6F" w14:textId="77777777">
        <w:trPr>
          <w:jc w:val="center"/>
        </w:trPr>
        <w:tc>
          <w:tcPr>
            <w:tcW w:w="2556" w:type="dxa"/>
            <w:vAlign w:val="center"/>
          </w:tcPr>
          <w:p w14:paraId="30FB3A34" w14:textId="77777777" w:rsidR="003F4541" w:rsidRDefault="00593922">
            <w:pPr>
              <w:jc w:val="center"/>
            </w:pPr>
            <w:r>
              <w:rPr>
                <w:sz w:val="17"/>
              </w:rPr>
              <w:t>SPC-only baseline</w:t>
            </w:r>
          </w:p>
        </w:tc>
        <w:tc>
          <w:tcPr>
            <w:tcW w:w="2556" w:type="dxa"/>
            <w:vAlign w:val="center"/>
          </w:tcPr>
          <w:p w14:paraId="30F49B15" w14:textId="77777777" w:rsidR="003F4541" w:rsidRDefault="00593922">
            <w:pPr>
              <w:jc w:val="center"/>
            </w:pPr>
            <w:r>
              <w:rPr>
                <w:sz w:val="17"/>
              </w:rPr>
              <w:t>SPC</w:t>
            </w:r>
          </w:p>
        </w:tc>
        <w:tc>
          <w:tcPr>
            <w:tcW w:w="2556" w:type="dxa"/>
            <w:vAlign w:val="center"/>
          </w:tcPr>
          <w:p w14:paraId="32EE4554" w14:textId="77777777" w:rsidR="003F4541" w:rsidRDefault="00593922">
            <w:pPr>
              <w:jc w:val="center"/>
            </w:pPr>
            <w:r>
              <w:rPr>
                <w:sz w:val="17"/>
              </w:rPr>
              <w:t>0.31 ± 0.03</w:t>
            </w:r>
          </w:p>
        </w:tc>
        <w:tc>
          <w:tcPr>
            <w:tcW w:w="2556" w:type="dxa"/>
            <w:vAlign w:val="center"/>
          </w:tcPr>
          <w:p w14:paraId="79E6730A" w14:textId="77777777" w:rsidR="003F4541" w:rsidRDefault="00593922">
            <w:pPr>
              <w:jc w:val="center"/>
            </w:pPr>
            <w:r>
              <w:rPr>
                <w:sz w:val="17"/>
              </w:rPr>
              <w:t>54 ± 4</w:t>
            </w:r>
          </w:p>
        </w:tc>
      </w:tr>
      <w:tr w:rsidR="003F4541" w14:paraId="46DC1400" w14:textId="77777777">
        <w:trPr>
          <w:jc w:val="center"/>
        </w:trPr>
        <w:tc>
          <w:tcPr>
            <w:tcW w:w="2556" w:type="dxa"/>
            <w:vAlign w:val="center"/>
          </w:tcPr>
          <w:p w14:paraId="3CAC4B48" w14:textId="77777777" w:rsidR="003F4541" w:rsidRDefault="00593922">
            <w:pPr>
              <w:jc w:val="center"/>
            </w:pPr>
            <w:r>
              <w:rPr>
                <w:sz w:val="17"/>
              </w:rPr>
              <w:t>SPC-only baseline</w:t>
            </w:r>
          </w:p>
        </w:tc>
        <w:tc>
          <w:tcPr>
            <w:tcW w:w="2556" w:type="dxa"/>
            <w:vAlign w:val="center"/>
          </w:tcPr>
          <w:p w14:paraId="38D0E385" w14:textId="77777777" w:rsidR="003F4541" w:rsidRDefault="00593922">
            <w:pPr>
              <w:jc w:val="center"/>
            </w:pPr>
            <w:r>
              <w:rPr>
                <w:sz w:val="17"/>
              </w:rPr>
              <w:t>Learned hand H1</w:t>
            </w:r>
          </w:p>
        </w:tc>
        <w:tc>
          <w:tcPr>
            <w:tcW w:w="2556" w:type="dxa"/>
            <w:vAlign w:val="center"/>
          </w:tcPr>
          <w:p w14:paraId="40B54167" w14:textId="77777777" w:rsidR="003F4541" w:rsidRDefault="00593922">
            <w:pPr>
              <w:jc w:val="center"/>
            </w:pPr>
            <w:r>
              <w:rPr>
                <w:sz w:val="17"/>
              </w:rPr>
              <w:t>0.21 ± 0.02</w:t>
            </w:r>
          </w:p>
        </w:tc>
        <w:tc>
          <w:tcPr>
            <w:tcW w:w="2556" w:type="dxa"/>
            <w:vAlign w:val="center"/>
          </w:tcPr>
          <w:p w14:paraId="049AEF54" w14:textId="77777777" w:rsidR="003F4541" w:rsidRDefault="00593922">
            <w:pPr>
              <w:jc w:val="center"/>
            </w:pPr>
            <w:r>
              <w:rPr>
                <w:sz w:val="17"/>
              </w:rPr>
              <w:t>32 ± 2</w:t>
            </w:r>
          </w:p>
        </w:tc>
      </w:tr>
      <w:tr w:rsidR="003F4541" w14:paraId="5F21F774" w14:textId="77777777">
        <w:trPr>
          <w:jc w:val="center"/>
        </w:trPr>
        <w:tc>
          <w:tcPr>
            <w:tcW w:w="2556" w:type="dxa"/>
            <w:vAlign w:val="center"/>
          </w:tcPr>
          <w:p w14:paraId="03F81D78" w14:textId="77777777" w:rsidR="003F4541" w:rsidRDefault="00593922">
            <w:pPr>
              <w:jc w:val="center"/>
            </w:pPr>
            <w:r>
              <w:rPr>
                <w:sz w:val="17"/>
              </w:rPr>
              <w:t>SPC-only baseline</w:t>
            </w:r>
          </w:p>
        </w:tc>
        <w:tc>
          <w:tcPr>
            <w:tcW w:w="2556" w:type="dxa"/>
            <w:vAlign w:val="center"/>
          </w:tcPr>
          <w:p w14:paraId="608F336C" w14:textId="77777777" w:rsidR="003F4541" w:rsidRDefault="00593922">
            <w:pPr>
              <w:jc w:val="center"/>
            </w:pPr>
            <w:r>
              <w:rPr>
                <w:sz w:val="17"/>
              </w:rPr>
              <w:t>Manual mouse</w:t>
            </w:r>
          </w:p>
        </w:tc>
        <w:tc>
          <w:tcPr>
            <w:tcW w:w="2556" w:type="dxa"/>
            <w:vAlign w:val="center"/>
          </w:tcPr>
          <w:p w14:paraId="70B4A43A" w14:textId="77777777" w:rsidR="003F4541" w:rsidRDefault="00593922">
            <w:pPr>
              <w:jc w:val="center"/>
            </w:pPr>
            <w:r>
              <w:rPr>
                <w:sz w:val="17"/>
              </w:rPr>
              <w:t>0.14</w:t>
            </w:r>
          </w:p>
        </w:tc>
        <w:tc>
          <w:tcPr>
            <w:tcW w:w="2556" w:type="dxa"/>
            <w:vAlign w:val="center"/>
          </w:tcPr>
          <w:p w14:paraId="5D0D37C9" w14:textId="77777777" w:rsidR="003F4541" w:rsidRDefault="00593922">
            <w:pPr>
              <w:jc w:val="center"/>
            </w:pPr>
            <w:r>
              <w:rPr>
                <w:sz w:val="17"/>
              </w:rPr>
              <w:t>33</w:t>
            </w:r>
          </w:p>
        </w:tc>
      </w:tr>
      <w:tr w:rsidR="003F4541" w14:paraId="0D94EA31" w14:textId="77777777">
        <w:trPr>
          <w:jc w:val="center"/>
        </w:trPr>
        <w:tc>
          <w:tcPr>
            <w:tcW w:w="2556" w:type="dxa"/>
            <w:vAlign w:val="center"/>
          </w:tcPr>
          <w:p w14:paraId="351F0A63" w14:textId="77777777" w:rsidR="003F4541" w:rsidRDefault="00593922">
            <w:pPr>
              <w:jc w:val="center"/>
            </w:pPr>
            <w:r>
              <w:rPr>
                <w:sz w:val="17"/>
              </w:rPr>
              <w:lastRenderedPageBreak/>
              <w:t>Single-opponent baseline</w:t>
            </w:r>
          </w:p>
        </w:tc>
        <w:tc>
          <w:tcPr>
            <w:tcW w:w="2556" w:type="dxa"/>
            <w:vAlign w:val="center"/>
          </w:tcPr>
          <w:p w14:paraId="02DE4B5D" w14:textId="77777777" w:rsidR="003F4541" w:rsidRDefault="00593922">
            <w:pPr>
              <w:jc w:val="center"/>
            </w:pPr>
            <w:r>
              <w:rPr>
                <w:sz w:val="17"/>
              </w:rPr>
              <w:t>SPC</w:t>
            </w:r>
          </w:p>
        </w:tc>
        <w:tc>
          <w:tcPr>
            <w:tcW w:w="2556" w:type="dxa"/>
            <w:vAlign w:val="center"/>
          </w:tcPr>
          <w:p w14:paraId="24FDE8A2" w14:textId="77777777" w:rsidR="003F4541" w:rsidRDefault="00593922">
            <w:pPr>
              <w:jc w:val="center"/>
            </w:pPr>
            <w:r>
              <w:rPr>
                <w:sz w:val="17"/>
              </w:rPr>
              <w:t>0.11 ± 0.01</w:t>
            </w:r>
          </w:p>
        </w:tc>
        <w:tc>
          <w:tcPr>
            <w:tcW w:w="2556" w:type="dxa"/>
            <w:vAlign w:val="center"/>
          </w:tcPr>
          <w:p w14:paraId="3BD24B06" w14:textId="77777777" w:rsidR="003F4541" w:rsidRDefault="00593922">
            <w:pPr>
              <w:jc w:val="center"/>
            </w:pPr>
            <w:r>
              <w:rPr>
                <w:sz w:val="17"/>
              </w:rPr>
              <w:t>25 ± 1</w:t>
            </w:r>
          </w:p>
        </w:tc>
      </w:tr>
      <w:tr w:rsidR="003F4541" w14:paraId="56ED10A4" w14:textId="77777777">
        <w:trPr>
          <w:jc w:val="center"/>
        </w:trPr>
        <w:tc>
          <w:tcPr>
            <w:tcW w:w="2556" w:type="dxa"/>
            <w:vAlign w:val="center"/>
          </w:tcPr>
          <w:p w14:paraId="24E91871" w14:textId="77777777" w:rsidR="003F4541" w:rsidRDefault="00593922">
            <w:pPr>
              <w:jc w:val="center"/>
            </w:pPr>
            <w:r>
              <w:rPr>
                <w:sz w:val="17"/>
              </w:rPr>
              <w:t>Single-opponent baseline</w:t>
            </w:r>
          </w:p>
        </w:tc>
        <w:tc>
          <w:tcPr>
            <w:tcW w:w="2556" w:type="dxa"/>
            <w:vAlign w:val="center"/>
          </w:tcPr>
          <w:p w14:paraId="1D5B7B33" w14:textId="77777777" w:rsidR="003F4541" w:rsidRDefault="00593922">
            <w:pPr>
              <w:jc w:val="center"/>
            </w:pPr>
            <w:r>
              <w:rPr>
                <w:sz w:val="17"/>
              </w:rPr>
              <w:t>Learned hand H1</w:t>
            </w:r>
          </w:p>
        </w:tc>
        <w:tc>
          <w:tcPr>
            <w:tcW w:w="2556" w:type="dxa"/>
            <w:vAlign w:val="center"/>
          </w:tcPr>
          <w:p w14:paraId="59920654" w14:textId="77777777" w:rsidR="003F4541" w:rsidRDefault="00593922">
            <w:pPr>
              <w:jc w:val="center"/>
            </w:pPr>
            <w:r>
              <w:rPr>
                <w:sz w:val="17"/>
              </w:rPr>
              <w:t>0.51 ± 0.03</w:t>
            </w:r>
          </w:p>
        </w:tc>
        <w:tc>
          <w:tcPr>
            <w:tcW w:w="2556" w:type="dxa"/>
            <w:vAlign w:val="center"/>
          </w:tcPr>
          <w:p w14:paraId="5209A433" w14:textId="77777777" w:rsidR="003F4541" w:rsidRDefault="00593922">
            <w:pPr>
              <w:jc w:val="center"/>
            </w:pPr>
            <w:r>
              <w:rPr>
                <w:sz w:val="17"/>
              </w:rPr>
              <w:t>73 ± 3</w:t>
            </w:r>
          </w:p>
        </w:tc>
      </w:tr>
      <w:tr w:rsidR="003F4541" w14:paraId="4906FB2E" w14:textId="77777777">
        <w:trPr>
          <w:jc w:val="center"/>
        </w:trPr>
        <w:tc>
          <w:tcPr>
            <w:tcW w:w="2556" w:type="dxa"/>
            <w:vAlign w:val="center"/>
          </w:tcPr>
          <w:p w14:paraId="5FA454CB" w14:textId="77777777" w:rsidR="003F4541" w:rsidRDefault="00593922">
            <w:pPr>
              <w:jc w:val="center"/>
            </w:pPr>
            <w:r>
              <w:rPr>
                <w:sz w:val="17"/>
              </w:rPr>
              <w:t>Single-opponent baseline</w:t>
            </w:r>
          </w:p>
        </w:tc>
        <w:tc>
          <w:tcPr>
            <w:tcW w:w="2556" w:type="dxa"/>
            <w:vAlign w:val="center"/>
          </w:tcPr>
          <w:p w14:paraId="3E55DB32" w14:textId="77777777" w:rsidR="003F4541" w:rsidRDefault="00593922">
            <w:pPr>
              <w:jc w:val="center"/>
            </w:pPr>
            <w:r>
              <w:rPr>
                <w:sz w:val="17"/>
              </w:rPr>
              <w:t>Manual mouse</w:t>
            </w:r>
          </w:p>
        </w:tc>
        <w:tc>
          <w:tcPr>
            <w:tcW w:w="2556" w:type="dxa"/>
            <w:vAlign w:val="center"/>
          </w:tcPr>
          <w:p w14:paraId="7EC6D2C5" w14:textId="77777777" w:rsidR="003F4541" w:rsidRDefault="00593922">
            <w:pPr>
              <w:jc w:val="center"/>
            </w:pPr>
            <w:r>
              <w:rPr>
                <w:sz w:val="17"/>
              </w:rPr>
              <w:t>0.19</w:t>
            </w:r>
          </w:p>
        </w:tc>
        <w:tc>
          <w:tcPr>
            <w:tcW w:w="2556" w:type="dxa"/>
            <w:vAlign w:val="center"/>
          </w:tcPr>
          <w:p w14:paraId="2C90C5F4" w14:textId="77777777" w:rsidR="003F4541" w:rsidRDefault="00593922">
            <w:pPr>
              <w:jc w:val="center"/>
            </w:pPr>
            <w:r>
              <w:rPr>
                <w:sz w:val="17"/>
              </w:rPr>
              <w:t>41</w:t>
            </w:r>
          </w:p>
        </w:tc>
      </w:tr>
      <w:tr w:rsidR="003F4541" w14:paraId="20820E41" w14:textId="77777777">
        <w:trPr>
          <w:jc w:val="center"/>
        </w:trPr>
        <w:tc>
          <w:tcPr>
            <w:tcW w:w="2556" w:type="dxa"/>
            <w:vAlign w:val="center"/>
          </w:tcPr>
          <w:p w14:paraId="2BDEEFE0" w14:textId="77777777" w:rsidR="003F4541" w:rsidRDefault="00593922">
            <w:pPr>
              <w:jc w:val="center"/>
            </w:pPr>
            <w:r>
              <w:rPr>
                <w:sz w:val="17"/>
              </w:rPr>
              <w:t>League policy</w:t>
            </w:r>
          </w:p>
        </w:tc>
        <w:tc>
          <w:tcPr>
            <w:tcW w:w="2556" w:type="dxa"/>
            <w:vAlign w:val="center"/>
          </w:tcPr>
          <w:p w14:paraId="22A527E3" w14:textId="77777777" w:rsidR="003F4541" w:rsidRDefault="00593922">
            <w:pPr>
              <w:jc w:val="center"/>
            </w:pPr>
            <w:r>
              <w:rPr>
                <w:sz w:val="17"/>
              </w:rPr>
              <w:t>SPC</w:t>
            </w:r>
          </w:p>
        </w:tc>
        <w:tc>
          <w:tcPr>
            <w:tcW w:w="2556" w:type="dxa"/>
            <w:vAlign w:val="center"/>
          </w:tcPr>
          <w:p w14:paraId="34F7FC31" w14:textId="77777777" w:rsidR="003F4541" w:rsidRDefault="00593922">
            <w:pPr>
              <w:jc w:val="center"/>
            </w:pPr>
            <w:r>
              <w:rPr>
                <w:sz w:val="17"/>
              </w:rPr>
              <w:t>0.36 ± 0.03</w:t>
            </w:r>
          </w:p>
        </w:tc>
        <w:tc>
          <w:tcPr>
            <w:tcW w:w="2556" w:type="dxa"/>
            <w:vAlign w:val="center"/>
          </w:tcPr>
          <w:p w14:paraId="2892BDA4" w14:textId="77777777" w:rsidR="003F4541" w:rsidRDefault="00593922">
            <w:pPr>
              <w:jc w:val="center"/>
            </w:pPr>
            <w:r>
              <w:rPr>
                <w:sz w:val="17"/>
              </w:rPr>
              <w:t>60 ± 3</w:t>
            </w:r>
          </w:p>
        </w:tc>
      </w:tr>
      <w:tr w:rsidR="003F4541" w14:paraId="1270CD44" w14:textId="77777777">
        <w:trPr>
          <w:jc w:val="center"/>
        </w:trPr>
        <w:tc>
          <w:tcPr>
            <w:tcW w:w="2556" w:type="dxa"/>
            <w:vAlign w:val="center"/>
          </w:tcPr>
          <w:p w14:paraId="386986A4" w14:textId="77777777" w:rsidR="003F4541" w:rsidRDefault="00593922">
            <w:pPr>
              <w:jc w:val="center"/>
            </w:pPr>
            <w:r>
              <w:rPr>
                <w:sz w:val="17"/>
              </w:rPr>
              <w:t>League policy</w:t>
            </w:r>
          </w:p>
        </w:tc>
        <w:tc>
          <w:tcPr>
            <w:tcW w:w="2556" w:type="dxa"/>
            <w:vAlign w:val="center"/>
          </w:tcPr>
          <w:p w14:paraId="435F0FCE" w14:textId="77777777" w:rsidR="003F4541" w:rsidRDefault="00593922">
            <w:pPr>
              <w:jc w:val="center"/>
            </w:pPr>
            <w:r>
              <w:rPr>
                <w:sz w:val="17"/>
              </w:rPr>
              <w:t>Learned hand H1</w:t>
            </w:r>
          </w:p>
        </w:tc>
        <w:tc>
          <w:tcPr>
            <w:tcW w:w="2556" w:type="dxa"/>
            <w:vAlign w:val="center"/>
          </w:tcPr>
          <w:p w14:paraId="30EE1D97" w14:textId="77777777" w:rsidR="003F4541" w:rsidRDefault="00593922">
            <w:pPr>
              <w:jc w:val="center"/>
            </w:pPr>
            <w:r>
              <w:rPr>
                <w:sz w:val="17"/>
              </w:rPr>
              <w:t>0.45 ± 0.03</w:t>
            </w:r>
          </w:p>
        </w:tc>
        <w:tc>
          <w:tcPr>
            <w:tcW w:w="2556" w:type="dxa"/>
            <w:vAlign w:val="center"/>
          </w:tcPr>
          <w:p w14:paraId="39F1F5D5" w14:textId="77777777" w:rsidR="003F4541" w:rsidRDefault="00593922">
            <w:pPr>
              <w:jc w:val="center"/>
            </w:pPr>
            <w:r>
              <w:rPr>
                <w:sz w:val="17"/>
              </w:rPr>
              <w:t>61 ± 3</w:t>
            </w:r>
          </w:p>
        </w:tc>
      </w:tr>
      <w:tr w:rsidR="003F4541" w14:paraId="48F1280E" w14:textId="77777777">
        <w:trPr>
          <w:jc w:val="center"/>
        </w:trPr>
        <w:tc>
          <w:tcPr>
            <w:tcW w:w="2556" w:type="dxa"/>
            <w:vAlign w:val="center"/>
          </w:tcPr>
          <w:p w14:paraId="0C7F57DD" w14:textId="77777777" w:rsidR="003F4541" w:rsidRDefault="00593922">
            <w:pPr>
              <w:jc w:val="center"/>
            </w:pPr>
            <w:r>
              <w:rPr>
                <w:sz w:val="17"/>
              </w:rPr>
              <w:t>League policy</w:t>
            </w:r>
          </w:p>
        </w:tc>
        <w:tc>
          <w:tcPr>
            <w:tcW w:w="2556" w:type="dxa"/>
            <w:vAlign w:val="center"/>
          </w:tcPr>
          <w:p w14:paraId="0C5A6892" w14:textId="77777777" w:rsidR="003F4541" w:rsidRDefault="00593922">
            <w:pPr>
              <w:jc w:val="center"/>
            </w:pPr>
            <w:r>
              <w:rPr>
                <w:sz w:val="17"/>
              </w:rPr>
              <w:t>Manual mouse</w:t>
            </w:r>
          </w:p>
        </w:tc>
        <w:tc>
          <w:tcPr>
            <w:tcW w:w="2556" w:type="dxa"/>
            <w:vAlign w:val="center"/>
          </w:tcPr>
          <w:p w14:paraId="036A4DC2" w14:textId="77777777" w:rsidR="003F4541" w:rsidRDefault="00593922">
            <w:pPr>
              <w:jc w:val="center"/>
            </w:pPr>
            <w:r>
              <w:rPr>
                <w:sz w:val="17"/>
              </w:rPr>
              <w:t>0.49</w:t>
            </w:r>
          </w:p>
        </w:tc>
        <w:tc>
          <w:tcPr>
            <w:tcW w:w="2556" w:type="dxa"/>
            <w:vAlign w:val="center"/>
          </w:tcPr>
          <w:p w14:paraId="2035BF1B" w14:textId="77777777" w:rsidR="003F4541" w:rsidRDefault="00593922">
            <w:pPr>
              <w:jc w:val="center"/>
            </w:pPr>
            <w:r>
              <w:rPr>
                <w:sz w:val="17"/>
              </w:rPr>
              <w:t>74</w:t>
            </w:r>
          </w:p>
        </w:tc>
      </w:tr>
    </w:tbl>
    <w:p w14:paraId="669A723B" w14:textId="77777777" w:rsidR="003F4541" w:rsidRDefault="00593922">
      <w:pPr>
        <w:ind w:firstLine="288"/>
        <w:jc w:val="both"/>
      </w:pPr>
      <w:r>
        <w:t/>
      </w:r>
      <w:r>
        <w:t/>
      </w:r>
      <w:r>
        <w:t/>
      </w: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r>
        <w:t/>
      </w:r>
      <w:r>
        <w:t/>
      </w:r>
      <w:r>
        <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 xml:space="preserve">The league results evaluate the diversity of hand behaviors used during training, while the network ablation tests whether the robot policy can use temporal </w:t>
      </w:r>
      <w:r>
        <w:t>information about hand motion once that diversity is present. The MLP baseline uses the instantaneous geometric state only, the GRU policy adds a history of relative displacement over 16 frames, and the auxiliary GRU further adds the dynamics prediction he</w:t>
      </w:r>
      <w:r>
        <w:t>ad described in Section III.B. The training curves in Fig. 4(a) and Fig. 4(b) show that temporal history improves optimization and interaction persistence. The GRU policies reach higher episode reward and longer episode length than the MLP baseline, indica</w:t>
      </w:r>
      <w:r>
        <w:t>ting that current geometry alone is insufficient for stable difficulty regulation when hand motion changes over time. The auxiliary GRU gives the strongest training curve, suggesting that the prediction loss helps the recurrent stream form a more useful mo</w:t>
      </w:r>
      <w:r>
        <w:t>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w:t>
      </w:r>
      <w:r>
        <w:t>r than only reconstructing the current position. The final normalized metrics in Fig. 4(d) summarize the control effect of these representation changes. Recurrent history improves time within the ZPD and workspace coverage relative to the MLP baseline. Add</w:t>
      </w:r>
      <w:r>
        <w:t>ing the auxiliary prediction objective further improves these performance metrics while reducing mean jerk. Together, the ablation indicates that temporal hand history and auxiliary dynamics prediction contribute to smoother and more reliable difficulty re</w:t>
      </w:r>
      <w:r>
        <w:t>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w:t>
      </w:r>
      <w:r>
        <w:t>epresentative predictions from the auxiliary head over a short horizon compared with observed future hand motion. (d) Final performance metrics normalized to the MLP baseline; higher values are better for time within the ZPD and workspace coverage, whereas</w:t>
      </w:r>
      <w:r>
        <w:t xml:space="preserve">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The policy trained in simulation was deployed on the UR10 microrobot platform to evaluate zero-shot transfer with real hand input. In each rollout, a healthy pilot pursued the passive mi</w:t>
      </w:r>
      <w:r>
        <w:t>crorobot on the acrylic workspace while the UR10 moved the magnetic actuator beneath the surface. The policy received no further training on the physical platform, and the dataset contains nine zero-shot rollouts from one pilot session. The camera and UR10</w:t>
      </w:r>
      <w:r>
        <w:t xml:space="preserve"> command loops provided real-time control, and policy inference was fast enough to support online interaction with continuous feedback.</w:t>
      </w:r>
    </w:p>
    <w:p w14:paraId="068042A0" w14:textId="77777777" w:rsidR="003F4541" w:rsidRDefault="00593922">
      <w:pPr>
        <w:ind w:firstLine="288"/>
        <w:jc w:val="both"/>
      </w:pPr>
      <w:r>
        <w:t xml:space="preserve">The deployment stack preserved the simulation observation format. Policy inputs were constructed from calibrated camera </w:t>
      </w:r>
      <w:r>
        <w:t xml:space="preserve">measurements of the hand and microrobot, features describing workspace boundaries, the previous executed robot command, and the recent history of relative hand displacement, matching the categories in (6) and (7). UR10 telemetry and end-effector pose were </w:t>
      </w:r>
      <w:r>
        <w:t>not provided to the policy; RTDE pose readback was used only for Cartesian command execution and monitoring over Ethernet. The camera tracking pipeline handled perception and calibration through YOLO microrobot detection, MediaPipe hand tracking, and a hom</w:t>
      </w:r>
      <w:r>
        <w:t>ography that mapped image coordinates to workspace coordinates. During short gaps in hand tracking, the controller extrapolated motion from the last measured hand velocity. Safety constraints included workspace clipping, limits on command increments, autom</w:t>
      </w:r>
      <w:r>
        <w:t>atic stopping after catch, UR10 servoStop on shutdown or interruption, and the standard hardware emergency stop available during testing.</w:t>
      </w:r>
    </w:p>
    <w:p w14:paraId="01889B3E" w14:textId="77777777" w:rsidR="003F4541" w:rsidRDefault="00593922">
      <w:pPr>
        <w:ind w:firstLine="288"/>
        <w:jc w:val="both"/>
      </w:pPr>
      <w:r>
        <w:t xml:space="preserve">Fig. 5 presents one representative zero-shot physical rollout. The image sequence in Fig. 5(a) and the traces in Fig. </w:t>
      </w:r>
      <w:r>
        <w:t>5(b) are aligned in time, linking the observed configurations to changes in hand speed, robot speed, and separation. During steady pursuit, the distance remains within or close to the target ZPD band. When the hand accelerates sharply, the separation brief</w:t>
      </w:r>
      <w:r>
        <w:t>ly falls below the target ZPD band as the hand closes rapidly on the microrobot. Robot speed then increases, and the distance re-</w:t>
      </w:r>
      <w:r>
        <w:lastRenderedPageBreak/>
        <w:t>enters the target ZPD band within the following few seconds. As the hand subsequently decelerates, the change in relative motio</w:t>
      </w:r>
      <w:r>
        <w:t>n produces another short deviation. Robot speed decreases after the slowdown, and the distance again returns toward the target ZPD band. Similar coupled changes later in the rollout show that the policy modifies microrobot motion as the pursuit dynamics ch</w:t>
      </w:r>
      <w:r>
        <w:t>ange rather than maintaining a fixed-speed escape response. The final sustained decrease in distance corresponds to catch and episode termination. This representative trial therefore supports the ability of the simulation-trained policy to respond online t</w:t>
      </w:r>
      <w:r>
        <w:t>o abrupt changes in hand motion and restore the intended interaction range after transient disturbances.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UR10 microrobot platform. (a) Key deployment frames from a representative rollout among nine physical tr</w:t>
      </w:r>
      <w:r>
        <w:t>ials. (b) Smoothed distance between the hand and microrobot, target ZPD band, and measured hand and robot speeds from the same rollout.</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97FA3" w14:textId="77777777" w:rsidR="00593922" w:rsidRDefault="00593922" w:rsidP="0039565B">
      <w:pPr>
        <w:spacing w:after="0" w:line="240" w:lineRule="auto"/>
      </w:pPr>
      <w:r>
        <w:separator/>
      </w:r>
    </w:p>
  </w:endnote>
  <w:endnote w:type="continuationSeparator" w:id="0">
    <w:p w14:paraId="068EFAAC" w14:textId="77777777" w:rsidR="00593922" w:rsidRDefault="00593922"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433FA" w14:textId="77777777" w:rsidR="00593922" w:rsidRDefault="00593922" w:rsidP="0039565B">
      <w:pPr>
        <w:spacing w:after="0" w:line="240" w:lineRule="auto"/>
      </w:pPr>
      <w:r>
        <w:separator/>
      </w:r>
    </w:p>
  </w:footnote>
  <w:footnote w:type="continuationSeparator" w:id="0">
    <w:p w14:paraId="3A09FDCC" w14:textId="77777777" w:rsidR="00593922" w:rsidRDefault="00593922"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29639D"/>
    <w:rsid w:val="00326F90"/>
    <w:rsid w:val="0039565B"/>
    <w:rsid w:val="003F4541"/>
    <w:rsid w:val="00593922"/>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10</Pages>
  <Words>4362</Words>
  <Characters>24867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2</cp:revision>
  <dcterms:created xsi:type="dcterms:W3CDTF">2013-12-23T23:15:00Z</dcterms:created>
  <dcterms:modified xsi:type="dcterms:W3CDTF">2026-07-11T15:11:00Z</dcterms:modified>
  <cp:category/>
</cp:coreProperties>
</file>