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96122" w14:textId="77777777" w:rsidR="003F4541" w:rsidRDefault="00593922">
      <w:pPr>
        <w:jc w:val="center"/>
      </w:pPr>
      <w:r>
        <w:rPr>
          <w:b/>
          <w:sz w:val="28"/>
        </w:rPr>
        <w:t>Stage Manuscript Draft: Methods, Experiments, and Physical Deployment</w:t>
      </w:r>
    </w:p>
    <w:p w14:paraId="71502CF1" w14:textId="77777777" w:rsidR="003F4541" w:rsidRDefault="00593922">
      <w:pPr>
        <w:jc w:val="center"/>
      </w:pPr>
      <w:r>
        <w:rPr>
          <w:i/>
          <w:sz w:val="18"/>
        </w:rPr>
        <w:t>Abstract, Introduction, Discussion, Conclusion, and References remain to be finalized.</w:t>
      </w:r>
    </w:p>
    <w:p w14:paraId="2BD9005B" w14:textId="77777777" w:rsidR="003F4541" w:rsidRDefault="00593922">
      <w:pPr>
        <w:ind w:firstLine="288"/>
        <w:jc w:val="both"/>
      </w:pPr>
      <w:r>
        <w:t xml:space="preserve">Stage manuscript draft revised from </w:t>
      </w:r>
      <w:r>
        <w:t>`methodology_ieee_v2.50_restore_standard_compounds.md`. This version corrects equations (3)–(5) and their immediate variable definitions.</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rsidRPr="0039565B">
        <w:t>We introduce a magnetically actuated, noncontact rehabilitation system for active motor training of the upper limb.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Because an appropriate challenge level requires the microrobot to adapt continuously to the participant’s changing pursuit behavior, we formulate its motion control as a reinforcement learning (RL) problem for regulating interaction difficulty.</w:t>
      </w:r>
    </w:p>
    <w:p w14:paraId="358E4FA2" w14:textId="77777777" w:rsidR="003F4541" w:rsidRDefault="00593922">
      <w:pPr>
        <w:pStyle w:val="21"/>
      </w:pPr>
      <w:r>
        <w:t>A</w:t>
      </w:r>
      <w:r>
        <w:t>. Hardware Platform</w:t>
      </w:r>
    </w:p>
    <w:p w14:paraId="2F91CA2D" w14:textId="77777777" w:rsidR="003F4541" w:rsidRDefault="00593922">
      <w:pPr>
        <w:ind w:firstLine="288"/>
        <w:jc w:val="both"/>
      </w:pPr>
      <w:r>
        <w:t>The platform separates actuation, interaction, and perception into three physical layers. In the actuation layer, a UR10 robotic arm is placed b</w:t>
      </w:r>
      <w:r>
        <w:t xml:space="preserve">eneath the workspace, and a permanent magnet is mounted on its end effector to drive the microrobot above. In the interaction layer, an acrylic sheet 5 mm thick supports the unpowered microrobot and forms a physical barrier between the robotic arm and the </w:t>
      </w:r>
      <w:r>
        <w:t>user. In the perception layer, an overhead RGB camera sends images to a host computer. The computer estimates the microrobot and hand positions and transmits target pose commands to the UR10 over Ethernet.</w:t>
      </w:r>
    </w:p>
    <w:p w14:paraId="21C232E1" w14:textId="77777777" w:rsidR="00050836" w:rsidRPr="00050836" w:rsidRDefault="00050836" w:rsidP="00050836">
      <w:pPr>
        <w:ind w:firstLineChars="200" w:firstLine="400"/>
      </w:pPr>
      <w:r w:rsidRPr="00050836">
        <w:t>This layout emphasizes both interaction safety and hardware simplicity. Fig. 1 summarizes the workflow from simulation training to visual observation, policy inference, and physical magnetic actuation. The acrylic sheet provides a fixed physical separation between the participant and the robotic arm, such that the participant interacts only with the lightweight, unpowered microrobot on the tabletop workspace. The UR10 remains beneath the surface, with software motion limits and its standard emergency stop available during operation. The system forms a vision-based closed loop in which an overhead RGB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r>
        <w:t>Fig. 1. System framework for noncontact rehabilitation from simulation to physical deployment. The simulation environment defines the pursuit interaction, the policy network maps spatial and temporal observations to microrobot actions, th</w:t>
      </w:r>
      <w:r>
        <w:t>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77777777" w:rsidR="003F4541" w:rsidRDefault="00593922">
      <w:pPr>
        <w:ind w:firstLine="288"/>
        <w:jc w:val="both"/>
      </w:pPr>
      <w:r>
        <w:t>We cast the task as a pursuit interaction with continuous feedback on a flat work</w:t>
      </w:r>
      <w:r>
        <w:t>space. The participant's hand is the pursuer, and the microrobot is a moving target driven beneath the acrylic surface. The participant attempts to approach and catch the microrobot while the robot adjusts target motion to keep the task challenging but rea</w:t>
      </w:r>
      <w:r>
        <w:t>chable. Unlike static reaching, the target continues to move after the participant initiates a movement. The task requires continuous tracking, anticipation, and correction rather than a single reaching movement [1].</w:t>
      </w:r>
    </w:p>
    <w:p w14:paraId="3D6DC1E3" w14:textId="77777777" w:rsidR="003F4541" w:rsidRDefault="00593922">
      <w:pPr>
        <w:ind w:firstLine="288"/>
        <w:jc w:val="both"/>
      </w:pPr>
      <w:r>
        <w:t xml:space="preserve">The Zone of Proximal Development (ZPD) </w:t>
      </w:r>
      <w:r>
        <w:t>is defined operationally as a target range for the distance between the hand and microrobot [2]. In this study, the target ZPD band was established after workspace calibration. It was selected for the desktop pilot platform to leave enough separation to av</w:t>
      </w:r>
      <w:r>
        <w:t>oid immediate catch while keeping the microrobot visually and physically reachable. This operating band is specific to the platform rather than a universal clinical threshold. Use with patients would require calibration during each session according to mov</w:t>
      </w:r>
      <w:r>
        <w:t>ement range, speed, and therapeutic goal. The robot should keep the interaction inside the target ZPD band rather than escaping completely or yielding passively. Hand speed, pursuit strategy, response delay, and motion noise can all change during interacti</w:t>
      </w:r>
      <w:r>
        <w:t>on, making fixed difficulty settings inadequate.</w:t>
      </w:r>
    </w:p>
    <w:p w14:paraId="50EEF571" w14:textId="77777777" w:rsidR="00050836" w:rsidRPr="00050836" w:rsidRDefault="00050836" w:rsidP="00050836">
      <w:pPr>
        <w:ind w:firstLine="288"/>
        <w:jc w:val="both"/>
      </w:pPr>
      <w:r w:rsidRPr="00050836">
        <w:t xml:space="preserve">Classical artificial potential field and rule-based reactive controllers provide intuitive solutions for regulating the motion of a target relative to a pursuer. However, their assumptions are not well matched to the present interactive pursuit task. A distance-based potential field can drive the microrobot away from the hand, but it does not explicitly account for the direction, velocity, or recent motion pattern of the pursuing hand. When the participant changes from direct pursuit to interception, a purely reactive controller may respond only after the relative geometry has already changed. This delayed response can </w:t>
      </w:r>
      <w:r w:rsidRPr="00050836">
        <w:lastRenderedPageBreak/>
        <w:t>produce oscillatory motion, drive the microrobot toward the workspace boundary, or result in an early catch. More generally, a rule-based controller requires manually specified thresholds, gains, and motion patterns. Under camera delay, noisy hand estimates, and abrupt changes in pursuit strategy, fixed rules have limited ability to distinguish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t>F</w:t>
      </w:r>
      <w:r>
        <w:t>or robot training, the reward is written as the sum of four intuitive terms: distance regulation, action smoothness, workspace safety, and catch avoidance. Let d_t be the distance between the hand and microrobot, a_</w:t>
      </w:r>
      <w:r>
        <w:t>t be the robot action, and p_R,t be the microrobot position. The robot reward optimized by PPO is summarized as</w:t>
      </w:r>
    </w:p>
    <w:p w14:paraId="4C5FB8EE" w14:textId="77777777" w:rsidR="003F4541" w:rsidRDefault="00593922">
      <w:pPr>
        <w:pStyle w:val="DisplayEquation"/>
        <w:spacing w:before="60" w:after="60"/>
        <w:jc w:val="center"/>
      </w:pPr>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m:t>
              </m:r>
              <m:r>
                <m: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m:t>
              </m:r>
              <m:r>
                <m:t>,</m:t>
              </m:r>
              <m:r>
                <m:t>t</m:t>
              </m:r>
            </m:sub>
          </m:sSub>
          <m:r>
            <m:t xml:space="preserve">) + </m:t>
          </m:r>
          <m:sSub>
            <m:sSubPr>
              <m:ctrlPr/>
            </m:sSubPr>
            <m:e>
              <m:r>
                <m:t>r</m:t>
              </m:r>
            </m:e>
            <m:sub>
              <m:r>
                <m:t>catc</m:t>
              </m:r>
              <m:r>
                <m:t>h</m:t>
              </m:r>
            </m:sub>
          </m:sSub>
          <m:r>
            <m:t>(</m:t>
          </m:r>
          <m:sSub>
            <m:sSubPr>
              <m:ctrlPr/>
            </m:sSubPr>
            <m:e>
              <m:r>
                <m:t>d</m:t>
              </m:r>
            </m:e>
            <m:sub>
              <m:r>
                <m:t>t</m:t>
              </m:r>
            </m:sub>
          </m:sSub>
          <m:r>
            <m:t>)    (1)</m:t>
          </m:r>
        </m:oMath>
      </m:oMathPara>
    </w:p>
    <w:p w14:paraId="0F46582F" w14:textId="77777777" w:rsidR="003F4541" w:rsidRDefault="00593922">
      <w:pPr>
        <w:ind w:firstLine="288"/>
        <w:jc w:val="both"/>
      </w:pPr>
      <w:r>
        <w:t xml:space="preserve">Equation (1) groups the robot reward into four </w:t>
      </w:r>
      <w:r>
        <w:t>components. The distance component r_dist(d_t) encourages the separation between the hand and microrobot to remain inside the target ZPD band and penalizes deviations on either side. The smoothness component r_smooth(a_t) discourages abrupt commanded motio</w:t>
      </w:r>
      <w:r>
        <w:t>n. The boundary component r_bound(p_R,t) penalizes microrobot positions outside the valid workspace. The catch component r_catch(d_t) penalizes contact between the hand and microrobot. Episodes terminate after catch, workspace exit, or the maximum horizon.</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rsidRPr="00E10494">
        <w:t>The proposed framework is designed to improve robustness to variations in pursuit strategy and motor execution. It consists of three main components. First, decoupled domain randomization separates movement intent from motor execution constraints. Second, a dual-stream encoder combines instantaneous geometry with recent hand motion, while an auxiliary dynamics head encourages short-horizon motion prediction. Third, iterative league training exposes the robot to an expanding pool of hand policies, reducing overfitting to a single virtual user.</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rsidRPr="00E80366">
        <w:t>To improve robustness to diverse hand behaviors, we apply domain randomization to both pursuit strategy and motor execution.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the SPC and trained RL policies, representing direct pursuit and more anticipatory interception behaviors.</w:t>
      </w:r>
    </w:p>
    <w:p w14:paraId="68A8744E" w14:textId="0AE02630" w:rsidR="003F4541" w:rsidRDefault="00593922">
      <w:pPr>
        <w:ind w:firstLine="288"/>
        <w:jc w:val="both"/>
      </w:pPr>
      <w:r>
        <w:t>For the stochastic scripted pursuit controller, let ρ_ep denote the stride length sampled for each episode and q_t denote a planar unit direction. The intended displacement is</w:t>
      </w:r>
    </w:p>
    <w:p w14:paraId="2182BD2A" w14:textId="77777777" w:rsidR="003F4541" w:rsidRDefault="00593922">
      <w:pPr>
        <w:pStyle w:val="DisplayEquation"/>
        <w:spacing w:before="60" w:after="60"/>
        <w:jc w:val="center"/>
      </w:pPr>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The stri</w:t>
      </w:r>
      <w:r>
        <w:t>de ρ_ep is sampled once at episode reset and then held fixed. The direction q_t follows a pursuit rule with ε exploration. With probability 1 - ε, q_t points from the current hand position toward the microrobot. With probability ε, q_t is sampled uniformly</w:t>
      </w:r>
      <w:r>
        <w:t xml:space="preserve">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Let u_t</w:t>
      </w:r>
      <w:r>
        <w:t xml:space="preserve"> denote the intended hand velocity, v_t denote the executed velocity, and ṽ_t denote the filtered target velocity. Motion smoothing is applied as</w:t>
      </w:r>
    </w:p>
    <w:p w14:paraId="54837308" w14:textId="77777777" w:rsidR="003F4541" w:rsidRDefault="00593922">
      <w:pPr>
        <w:pStyle w:val="DisplayEquation"/>
        <w:spacing w:before="60" w:after="60"/>
        <w:jc w:val="center"/>
      </w:pPr>
      <m:oMathPara>
        <m:oMath>
          <m:sSub>
            <m:sSubPr>
              <m:ctrlPr/>
            </m:sSubPr>
            <m:e>
              <m:r>
                <m:t>ṽ</m:t>
              </m:r>
            </m:e>
            <m:sub>
              <m:r>
                <m:t>t</m:t>
              </m:r>
            </m:sub>
          </m:sSub>
          <m:r>
            <m:t xml:space="preserve"> = </m:t>
          </m:r>
          <m:r>
            <m:t>α</m:t>
          </m:r>
          <m:sSub>
            <m:sSubPr>
              <m:ctrlPr/>
            </m:sSubPr>
            <m:e>
              <m:r>
                <m:t>u</m:t>
              </m:r>
            </m:e>
            <m:sub>
              <m:r>
                <m:t>t</m:t>
              </m:r>
            </m:sub>
          </m:sSub>
          <m:r>
            <m:t xml:space="preserve"> + (1-</m:t>
          </m:r>
          <m:r>
            <m:t>α</m:t>
          </m:r>
          <m:r>
            <m:t>)</m:t>
          </m:r>
          <m:sSub>
            <m:sSubPr>
              <m:ctrlPr/>
            </m:sSubPr>
            <m:e>
              <m:r>
                <m:t>v</m:t>
              </m:r>
            </m:e>
            <m:sub>
              <m:r>
                <m:t>t</m:t>
              </m:r>
              <m:r>
                <m:t>-</m:t>
              </m:r>
              <m:r>
                <m:t>1</m:t>
              </m:r>
            </m:sub>
          </m:sSub>
          <m:r>
            <m:t xml:space="preserve">    (3)</m:t>
          </m:r>
        </m:oMath>
      </m:oMathPara>
    </w:p>
    <w:p w14:paraId="51E0DE3C" w14:textId="77777777" w:rsidR="003F4541" w:rsidRDefault="00593922">
      <w:pPr>
        <w:ind w:firstLine="288"/>
        <w:jc w:val="both"/>
      </w:pPr>
      <w:r>
        <w:t xml:space="preserve">The change from the previous executed velocity is then limited by its </w:t>
      </w:r>
      <w:r>
        <w:t>Euclidean norm,</w:t>
      </w:r>
    </w:p>
    <w:p w14:paraId="3ABA85F4" w14:textId="2197EA4B" w:rsidR="003F4541" w:rsidRDefault="00593922">
      <w:pPr>
        <w:pStyle w:val="DisplayEquation"/>
        <w:spacing w:before="60" w:after="60"/>
        <w:jc w:val="center"/>
      </w:pPr>
      <m:oMathPara>
        <m:oMath>
          <m:sSub>
            <m:sSubPr>
              <m:ctrlPr/>
            </m:sSubPr>
            <m:e>
              <m:r>
                <m:t>v</m:t>
              </m:r>
            </m:e>
            <m:sub>
              <m:r>
                <m:t>t</m:t>
              </m:r>
            </m:sub>
          </m:sSub>
          <m:r>
            <m:t xml:space="preserve"> = </m:t>
          </m:r>
          <m:sSub>
            <m:sSubPr>
              <m:ctrlPr/>
            </m:sSubPr>
            <m:e>
              <m:r>
                <m:t>v</m:t>
              </m:r>
            </m:e>
            <m:sub>
              <m:r>
                <m:t>t</m:t>
              </m:r>
              <m:r>
                <m:t>-</m:t>
              </m:r>
              <m:r>
                <m:t>1</m:t>
              </m:r>
            </m:sub>
          </m:sSub>
          <m:r>
            <m:t xml:space="preserve"> + </m:t>
          </m:r>
          <m:r>
            <m:t>clip</m:t>
          </m:r>
          <m:r>
            <m:t>(</m:t>
          </m:r>
          <m:sSub>
            <m:sSubPr>
              <m:ctrlPr/>
            </m:sSubPr>
            <m:e>
              <m:r>
                <m:t>ṽ</m:t>
              </m:r>
            </m:e>
            <m:sub>
              <m:r>
                <m:t>t</m:t>
              </m:r>
            </m:sub>
          </m:sSub>
          <m:r>
            <m:t>-</m:t>
          </m:r>
          <m:sSub>
            <m:sSubPr>
              <m:ctrlPr/>
            </m:sSubPr>
            <m:e>
              <m:r>
                <m:t>v</m:t>
              </m:r>
            </m:e>
            <m:sub>
              <m:r>
                <m:t>t</m:t>
              </m:r>
              <m:r>
                <m:t>-</m:t>
              </m:r>
              <m:r>
                <m:t>1</m:t>
              </m:r>
            </m:sub>
          </m:sSub>
          <m:r>
            <m:t xml:space="preserve">, </m:t>
          </m:r>
          <m:sSub>
            <m:sSubPr>
              <m:ctrlPr/>
            </m:sSubPr>
            <m:e>
              <m:r>
                <m:t>a</m:t>
              </m:r>
            </m:e>
            <m:sub>
              <m:r>
                <m:t>max</m:t>
              </m:r>
            </m:sub>
          </m:sSub>
          <m:r>
            <m:t>)    (4)</m:t>
          </m:r>
        </m:oMath>
      </m:oMathPara>
    </w:p>
    <w:p w14:paraId="20B1B989" w14:textId="6829E7B8" w:rsidR="003F4541" w:rsidRDefault="00593922">
      <w:pPr>
        <w:ind w:firstLine="288"/>
        <w:jc w:val="both"/>
      </w:pPr>
      <w:r>
        <w:t>Here, clip</w:t>
      </w:r>
      <w:r>
        <w:t xml:space="preserve">(z, </w:t>
      </w:r>
      <w:proofErr w:type="spellStart"/>
      <w:r>
        <w:t>a_max</w:t>
      </w:r>
      <w:proofErr w:type="spellEnd"/>
      <w:r>
        <w:t>) returns z when its Euclidean norm does not exceed a_max and otherwise rescales it to have norm a_max. The executed velocity updates the simulated han</w:t>
      </w:r>
      <w:r>
        <w:t>d position,</w:t>
      </w:r>
    </w:p>
    <w:p w14:paraId="5D2772B7" w14:textId="77777777" w:rsidR="003F4541" w:rsidRDefault="00593922">
      <w:pPr>
        <w:pStyle w:val="DisplayEquation"/>
        <w:spacing w:before="60" w:after="60"/>
        <w:jc w:val="center"/>
      </w:pPr>
      <m:oMathPara>
        <m:oMath>
          <m:sSub>
            <m:sSubPr>
              <m:ctrlPr/>
            </m:sSubPr>
            <m:e>
              <m:r>
                <m:t>p</m:t>
              </m:r>
            </m:e>
            <m:sub>
              <m:r>
                <m:t>H</m:t>
              </m:r>
              <m:r>
                <m:t>,</m:t>
              </m:r>
              <m:r>
                <m:t>t</m:t>
              </m:r>
              <m:r>
                <m:t>+1</m:t>
              </m:r>
            </m:sub>
          </m:sSub>
          <m:r>
            <m:t xml:space="preserve"> = </m:t>
          </m:r>
          <m:sSub>
            <m:sSubPr>
              <m:ctrlPr/>
            </m:sSubPr>
            <m:e>
              <m:r>
                <m:t>p</m:t>
              </m:r>
            </m:e>
            <m:sub>
              <m:r>
                <m:t>H</m:t>
              </m:r>
              <m:r>
                <m:t>,</m:t>
              </m:r>
              <m:r>
                <m:t>t</m:t>
              </m:r>
            </m:sub>
          </m:sSub>
          <m:r>
            <m:t xml:space="preserve"> + </m:t>
          </m:r>
          <m:sSub>
            <m:sSubPr>
              <m:ctrlPr/>
            </m:sSubPr>
            <m:e>
              <m:r>
                <m:t>v</m:t>
              </m:r>
            </m:e>
            <m:sub>
              <m:r>
                <m:t>t</m:t>
              </m:r>
            </m:sub>
          </m:sSub>
          <m:r>
            <m:t xml:space="preserve">    (5)</m:t>
          </m:r>
        </m:oMath>
      </m:oMathPara>
    </w:p>
    <w:p w14:paraId="4D68CE4A" w14:textId="77777777" w:rsidR="003F4541" w:rsidRDefault="00593922">
      <w:pPr>
        <w:ind w:firstLine="288"/>
        <w:jc w:val="both"/>
      </w:pPr>
      <w:r>
        <w:t>Equation (5) defines the core kinematic update. The delay and noise parameters in Table I are applied separately by the motor execution layer. This formulation allows a constant intended velocity to converge to</w:t>
      </w:r>
      <w:r>
        <w:t xml:space="preserve"> a constant executed velocity rather than causing the hand motion to vanish.</w:t>
      </w:r>
    </w:p>
    <w:p w14:paraId="48BED7BB" w14:textId="77777777" w:rsidR="003F4541" w:rsidRDefault="00593922">
      <w:pPr>
        <w:pStyle w:val="IEEECaption"/>
        <w:jc w:val="center"/>
      </w:pPr>
      <w:r>
        <w:rPr>
          <w:b/>
        </w:rPr>
        <w:t>TABLE I: MOTOR RANDOMIZATION PARAMETERS</w:t>
      </w:r>
    </w:p>
    <w:tbl>
      <w:tblPr>
        <w:tblStyle w:val="aff1"/>
        <w:tblW w:w="0" w:type="auto"/>
        <w:jc w:val="center"/>
        <w:tblLook w:val="04A0" w:firstRow="1" w:lastRow="0" w:firstColumn="1" w:lastColumn="0" w:noHBand="0" w:noVBand="1"/>
      </w:tblPr>
      <w:tblGrid>
        <w:gridCol w:w="3408"/>
        <w:gridCol w:w="3408"/>
        <w:gridCol w:w="3408"/>
      </w:tblGrid>
      <w:tr w:rsidR="003F4541" w14:paraId="3247F392" w14:textId="77777777">
        <w:trPr>
          <w:jc w:val="center"/>
        </w:trPr>
        <w:tc>
          <w:tcPr>
            <w:tcW w:w="3408" w:type="dxa"/>
            <w:shd w:val="clear" w:color="auto" w:fill="EDEDED"/>
            <w:vAlign w:val="center"/>
          </w:tcPr>
          <w:p w14:paraId="5C66FB85" w14:textId="77777777" w:rsidR="003F4541" w:rsidRDefault="00593922">
            <w:pPr>
              <w:jc w:val="center"/>
            </w:pPr>
            <w:r>
              <w:rPr>
                <w:b/>
                <w:sz w:val="17"/>
              </w:rPr>
              <w:t>Parameter</w:t>
            </w:r>
          </w:p>
        </w:tc>
        <w:tc>
          <w:tcPr>
            <w:tcW w:w="3408" w:type="dxa"/>
            <w:shd w:val="clear" w:color="auto" w:fill="EDEDED"/>
            <w:vAlign w:val="center"/>
          </w:tcPr>
          <w:p w14:paraId="75CC0E4E" w14:textId="77777777" w:rsidR="003F4541" w:rsidRDefault="00593922">
            <w:pPr>
              <w:jc w:val="center"/>
            </w:pPr>
            <w:r>
              <w:rPr>
                <w:b/>
                <w:sz w:val="17"/>
              </w:rPr>
              <w:t>Symbol</w:t>
            </w:r>
          </w:p>
        </w:tc>
        <w:tc>
          <w:tcPr>
            <w:tcW w:w="3408" w:type="dxa"/>
            <w:shd w:val="clear" w:color="auto" w:fill="EDEDED"/>
            <w:vAlign w:val="center"/>
          </w:tcPr>
          <w:p w14:paraId="304DC33E" w14:textId="77777777" w:rsidR="003F4541" w:rsidRDefault="00593922">
            <w:pPr>
              <w:jc w:val="center"/>
            </w:pPr>
            <w:r>
              <w:rPr>
                <w:b/>
                <w:sz w:val="17"/>
              </w:rPr>
              <w:t>Range</w:t>
            </w:r>
          </w:p>
        </w:tc>
      </w:tr>
      <w:tr w:rsidR="003F4541" w14:paraId="44037240" w14:textId="77777777">
        <w:trPr>
          <w:jc w:val="center"/>
        </w:trPr>
        <w:tc>
          <w:tcPr>
            <w:tcW w:w="3408" w:type="dxa"/>
            <w:vAlign w:val="center"/>
          </w:tcPr>
          <w:p w14:paraId="0D57FDE9" w14:textId="77777777" w:rsidR="003F4541" w:rsidRDefault="00593922">
            <w:pPr>
              <w:jc w:val="center"/>
            </w:pPr>
            <w:r>
              <w:rPr>
                <w:sz w:val="17"/>
              </w:rPr>
              <w:t>Motion inertia</w:t>
            </w:r>
          </w:p>
        </w:tc>
        <w:tc>
          <w:tcPr>
            <w:tcW w:w="3408" w:type="dxa"/>
            <w:vAlign w:val="center"/>
          </w:tcPr>
          <w:p w14:paraId="03B48D45" w14:textId="77777777" w:rsidR="003F4541" w:rsidRDefault="00593922">
            <w:pPr>
              <w:jc w:val="center"/>
            </w:pPr>
            <w:r>
              <w:rPr>
                <w:sz w:val="17"/>
              </w:rPr>
              <w:t>alpha</w:t>
            </w:r>
          </w:p>
        </w:tc>
        <w:tc>
          <w:tcPr>
            <w:tcW w:w="3408" w:type="dxa"/>
            <w:vAlign w:val="center"/>
          </w:tcPr>
          <w:p w14:paraId="409C3754" w14:textId="77777777" w:rsidR="003F4541" w:rsidRDefault="00593922">
            <w:pPr>
              <w:jc w:val="center"/>
            </w:pPr>
            <w:r>
              <w:rPr>
                <w:sz w:val="17"/>
              </w:rPr>
              <w:t>0.7</w:t>
            </w:r>
          </w:p>
        </w:tc>
      </w:tr>
      <w:tr w:rsidR="003F4541" w14:paraId="09FDF6F1" w14:textId="77777777">
        <w:trPr>
          <w:jc w:val="center"/>
        </w:trPr>
        <w:tc>
          <w:tcPr>
            <w:tcW w:w="3408" w:type="dxa"/>
            <w:vAlign w:val="center"/>
          </w:tcPr>
          <w:p w14:paraId="5342C7D5" w14:textId="77777777" w:rsidR="003F4541" w:rsidRDefault="00593922">
            <w:pPr>
              <w:jc w:val="center"/>
            </w:pPr>
            <w:r>
              <w:rPr>
                <w:sz w:val="17"/>
              </w:rPr>
              <w:t>Maximum acceleration</w:t>
            </w:r>
          </w:p>
        </w:tc>
        <w:tc>
          <w:tcPr>
            <w:tcW w:w="3408" w:type="dxa"/>
            <w:vAlign w:val="center"/>
          </w:tcPr>
          <w:p w14:paraId="43F91444" w14:textId="77777777" w:rsidR="003F4541" w:rsidRDefault="00593922">
            <w:pPr>
              <w:jc w:val="center"/>
            </w:pPr>
            <w:r>
              <w:rPr>
                <w:sz w:val="17"/>
              </w:rPr>
              <w:t>a_max</w:t>
            </w:r>
          </w:p>
        </w:tc>
        <w:tc>
          <w:tcPr>
            <w:tcW w:w="3408" w:type="dxa"/>
            <w:vAlign w:val="center"/>
          </w:tcPr>
          <w:p w14:paraId="458B3F08" w14:textId="77777777" w:rsidR="003F4541" w:rsidRDefault="00593922">
            <w:pPr>
              <w:jc w:val="center"/>
            </w:pPr>
            <w:r>
              <w:rPr>
                <w:sz w:val="17"/>
              </w:rPr>
              <w:t>0.15</w:t>
            </w:r>
          </w:p>
        </w:tc>
      </w:tr>
      <w:tr w:rsidR="003F4541" w14:paraId="2FCE85ED" w14:textId="77777777">
        <w:trPr>
          <w:jc w:val="center"/>
        </w:trPr>
        <w:tc>
          <w:tcPr>
            <w:tcW w:w="3408" w:type="dxa"/>
            <w:vAlign w:val="center"/>
          </w:tcPr>
          <w:p w14:paraId="6EF737A4" w14:textId="77777777" w:rsidR="003F4541" w:rsidRDefault="00593922">
            <w:pPr>
              <w:jc w:val="center"/>
            </w:pPr>
            <w:r>
              <w:rPr>
                <w:sz w:val="17"/>
              </w:rPr>
              <w:t>Gaussian observation noise</w:t>
            </w:r>
          </w:p>
        </w:tc>
        <w:tc>
          <w:tcPr>
            <w:tcW w:w="3408" w:type="dxa"/>
            <w:vAlign w:val="center"/>
          </w:tcPr>
          <w:p w14:paraId="1D1E8258" w14:textId="77777777" w:rsidR="003F4541" w:rsidRDefault="00593922">
            <w:pPr>
              <w:jc w:val="center"/>
            </w:pPr>
            <w:r>
              <w:rPr>
                <w:sz w:val="17"/>
              </w:rPr>
              <w:t>sigma</w:t>
            </w:r>
          </w:p>
        </w:tc>
        <w:tc>
          <w:tcPr>
            <w:tcW w:w="3408" w:type="dxa"/>
            <w:vAlign w:val="center"/>
          </w:tcPr>
          <w:p w14:paraId="367B35DF" w14:textId="77777777" w:rsidR="003F4541" w:rsidRDefault="00593922">
            <w:pPr>
              <w:jc w:val="center"/>
            </w:pPr>
            <w:r>
              <w:rPr>
                <w:sz w:val="17"/>
              </w:rPr>
              <w:t xml:space="preserve">Uniform </w:t>
            </w:r>
            <w:r>
              <w:rPr>
                <w:sz w:val="17"/>
              </w:rPr>
              <w:t>distribution over 0.01–0.08</w:t>
            </w:r>
          </w:p>
        </w:tc>
      </w:tr>
      <w:tr w:rsidR="003F4541" w14:paraId="5EAB230B" w14:textId="77777777">
        <w:trPr>
          <w:jc w:val="center"/>
        </w:trPr>
        <w:tc>
          <w:tcPr>
            <w:tcW w:w="3408" w:type="dxa"/>
            <w:vAlign w:val="center"/>
          </w:tcPr>
          <w:p w14:paraId="20F4ADBD" w14:textId="77777777" w:rsidR="003F4541" w:rsidRDefault="00593922">
            <w:pPr>
              <w:jc w:val="center"/>
            </w:pPr>
            <w:r>
              <w:rPr>
                <w:sz w:val="17"/>
              </w:rPr>
              <w:t>Neural delay</w:t>
            </w:r>
          </w:p>
        </w:tc>
        <w:tc>
          <w:tcPr>
            <w:tcW w:w="3408" w:type="dxa"/>
            <w:vAlign w:val="center"/>
          </w:tcPr>
          <w:p w14:paraId="65BA00ED" w14:textId="77777777" w:rsidR="003F4541" w:rsidRDefault="00593922">
            <w:pPr>
              <w:jc w:val="center"/>
            </w:pPr>
            <w:r>
              <w:rPr>
                <w:sz w:val="17"/>
              </w:rPr>
              <w:t>delta</w:t>
            </w:r>
          </w:p>
        </w:tc>
        <w:tc>
          <w:tcPr>
            <w:tcW w:w="3408" w:type="dxa"/>
            <w:vAlign w:val="center"/>
          </w:tcPr>
          <w:p w14:paraId="2BC27910" w14:textId="77777777" w:rsidR="003F4541" w:rsidRDefault="00593922">
            <w:pPr>
              <w:jc w:val="center"/>
            </w:pPr>
            <w:r>
              <w:rPr>
                <w:sz w:val="17"/>
              </w:rPr>
              <w:t>0–3 frames (0–375 ms)</w:t>
            </w:r>
          </w:p>
        </w:tc>
      </w:tr>
    </w:tbl>
    <w:p w14:paraId="666C3ABB" w14:textId="77777777" w:rsidR="003F4541" w:rsidRDefault="00593922">
      <w:pPr>
        <w:ind w:firstLine="288"/>
        <w:jc w:val="both"/>
      </w:pPr>
      <w:r>
        <w:t>Uniform distribution denotes sampling uniformly over the stated interval.</w:t>
      </w:r>
    </w:p>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rsidRPr="00E80366">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At each timestep, the observation vector has 44 dimensions and is divided into a scalar vector with 12 dimensions and a temporal buffer with 32</w:t>
      </w:r>
      <w:r>
        <w:t xml:space="preserve"> dimensions, as shown in (6).</w:t>
      </w:r>
    </w:p>
    <w:p w14:paraId="7728EC98" w14:textId="77777777" w:rsidR="003F4541" w:rsidRDefault="00593922">
      <w:pPr>
        <w:pStyle w:val="DisplayEquation"/>
        <w:spacing w:before="60" w:after="60"/>
        <w:jc w:val="center"/>
      </w:pPr>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m:t>
              </m:r>
              <m:r>
                <m:t>-</m:t>
              </m:r>
              <m:r>
                <m:t>T</m:t>
              </m:r>
              <m:r>
                <m:t>:</m:t>
              </m:r>
              <m:r>
                <m:t>t</m:t>
              </m:r>
            </m:sub>
          </m:sSub>
          <m:r>
            <m:t>]    (6)</m:t>
          </m:r>
        </m:oMath>
      </m:oMathPara>
    </w:p>
    <w:p w14:paraId="78097841" w14:textId="77777777" w:rsidR="003F4541" w:rsidRDefault="00593922">
      <w:pPr>
        <w:ind w:firstLine="288"/>
        <w:jc w:val="both"/>
      </w:pPr>
      <w:r>
        <w:t>The scalar component represents the instantaneous geometry of the interaction and is defined in (7).</w:t>
      </w:r>
    </w:p>
    <w:p w14:paraId="1E574B54" w14:textId="77777777" w:rsidR="003F4541" w:rsidRDefault="00593922">
      <w:pPr>
        <w:pStyle w:val="DisplayEquation"/>
        <w:spacing w:before="60" w:after="60"/>
        <w:jc w:val="center"/>
      </w:pPr>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m:t>
          </m:r>
          <m:r>
            <m:t>d</m:t>
          </m:r>
          <m:r>
            <m:t>(</m:t>
          </m:r>
          <m:r>
            <m:t>R</m:t>
          </m:r>
          <m:r>
            <m:t>,</m:t>
          </m:r>
          <m:r>
            <m:t>H</m:t>
          </m:r>
          <m:r>
            <m:t xml:space="preserve">);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m:t>
          </m:r>
          <m:r>
            <m:t>stride</m:t>
          </m:r>
          <m:r>
            <m:t xml:space="preserve">; </m:t>
          </m:r>
          <m:sSub>
            <m:sSubPr>
              <m:ctrlPr/>
            </m:sSubPr>
            <m:e>
              <m:r>
                <m:t>a</m:t>
              </m:r>
            </m:e>
            <m:sub>
              <m:r>
                <m:t>t</m:t>
              </m:r>
              <m:r>
                <m:t>-</m:t>
              </m:r>
              <m:r>
                <m:t>1</m:t>
              </m:r>
            </m:sub>
          </m:sSub>
          <m:r>
            <m:t>]    (7)</m:t>
          </m:r>
        </m:oMath>
      </m:oMathPara>
    </w:p>
    <w:p w14:paraId="15F196C8" w14:textId="77777777" w:rsidR="003F4541" w:rsidRDefault="00593922">
      <w:pPr>
        <w:ind w:firstLine="288"/>
        <w:jc w:val="both"/>
      </w:pPr>
      <w:r>
        <w:t>Here, p_R</w:t>
      </w:r>
      <w:r>
        <w:t xml:space="preserve"> and p_H denote the 2D positions of the microrobot and the hand. d(R,H) is their Euclidean distance. b_N, b_S, b_E, and b_W denote signed distances to the workspace boundaries. The variables stride and a_{t-1} represent the current movement step size and t</w:t>
      </w:r>
      <w:r>
        <w:t>he previous robot action, respectively.</w:t>
      </w:r>
    </w:p>
    <w:p w14:paraId="70323226" w14:textId="77777777" w:rsidR="003F4541" w:rsidRDefault="00593922">
      <w:pPr>
        <w:ind w:firstLine="288"/>
        <w:jc w:val="both"/>
      </w:pPr>
      <w:r>
        <w:t xml:space="preserve">The temporal buffer h_{t-T:t} contains the T = 16 most recent relative hand displacement vectors, forming a sequence with 32 dimensions. This sequence helps the encoder estimate motion direction, response delay, and </w:t>
      </w:r>
      <w:r>
        <w:t>oscillatory behavior that are unavailable from the current position alone. Relative displacements make the representation invariant to translation, so the recurrent stream focuses on how the hand is moving rather than where the interaction occurs in the wo</w:t>
      </w:r>
      <w:r>
        <w:t>rkspace.</w:t>
      </w:r>
    </w:p>
    <w:p w14:paraId="50BABE2F" w14:textId="77777777" w:rsidR="003F4541" w:rsidRDefault="00593922">
      <w:pPr>
        <w:ind w:firstLine="288"/>
        <w:jc w:val="both"/>
      </w:pPr>
      <w:r>
        <w:t xml:space="preserve">The scalar vector and temporal buffer are encoded in separate streams, as shown in Fig. 2. A multilayer perceptron (MLP) extracts geometric information from the scalar state, while a gated recurrent unit (GRU) processes the displacement sequence. </w:t>
      </w:r>
      <w:r>
        <w:t>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r>
        <w:t xml:space="preserve">Fig. 2. Dual-stream policy architecture with auxiliary dynamics prediction. The spatial branch encodes the </w:t>
      </w:r>
      <w:r>
        <w:t>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t>The ZPD reward provides the main control signal, but it super</w:t>
      </w:r>
      <w:r>
        <w:t>vises the encoder only indirectly through policy optimization. An auxiliary dynamics head adds a denser learning signal for motion representation. The head predicts relative hand displacement over a horizon of eight steps. Future displacements are availabl</w:t>
      </w:r>
      <w:r>
        <w:t>e from the rollout, so this self-supervised auxiliary task requires no additional annotation.</w:t>
      </w:r>
    </w:p>
    <w:p w14:paraId="1DE435C0" w14:textId="77777777" w:rsidR="003F4541" w:rsidRDefault="00593922">
      <w:pPr>
        <w:ind w:firstLine="288"/>
        <w:jc w:val="both"/>
      </w:pPr>
      <w:r>
        <w:t>The trajectory prediction loss is given in (8).</w:t>
      </w:r>
    </w:p>
    <w:p w14:paraId="56EECD55" w14:textId="77777777" w:rsidR="003F4541" w:rsidRDefault="00593922">
      <w:pPr>
        <w:pStyle w:val="DisplayEquation"/>
        <w:spacing w:before="60" w:after="60"/>
        <w:jc w:val="center"/>
      </w:pPr>
      <m:oMathPara>
        <m:oMath>
          <m:sSub>
            <m:sSubPr>
              <m:ctrlPr/>
            </m:sSubPr>
            <m:e>
              <m:r>
                <m:t>L</m:t>
              </m:r>
            </m:e>
            <m:sub>
              <m:r>
                <m:t>traj</m:t>
              </m:r>
            </m:sub>
          </m:sSub>
          <m:r>
            <m:t xml:space="preserve"> = </m:t>
          </m:r>
          <m:r>
            <m:t>E</m:t>
          </m:r>
          <m:r>
            <m:t>[</m:t>
          </m:r>
          <m:sSup>
            <m:sSupPr>
              <m:ctrlPr/>
            </m:sSupPr>
            <m:e>
              <m:r>
                <m:t>‖</m:t>
              </m:r>
              <m:sSub>
                <m:sSubPr>
                  <m:ctrlPr/>
                </m:sSubPr>
                <m:e>
                  <m:r>
                    <m:t>D̂</m:t>
                  </m:r>
                </m:e>
                <m:sub>
                  <m:r>
                    <m:t>t</m:t>
                  </m:r>
                  <m:r>
                    <m:t>+1:</m:t>
                  </m:r>
                  <m:r>
                    <m:t>t</m:t>
                  </m:r>
                  <m:r>
                    <m:t>+</m:t>
                  </m:r>
                  <m:r>
                    <m:t>H</m:t>
                  </m:r>
                </m:sub>
              </m:sSub>
              <m:r>
                <m:t>-</m:t>
              </m:r>
              <m:sSub>
                <m:sSubPr>
                  <m:ctrlPr/>
                </m:sSubPr>
                <m:e>
                  <m:r>
                    <m:t>D</m:t>
                  </m:r>
                </m:e>
                <m:sub>
                  <m:r>
                    <m:t>t</m:t>
                  </m:r>
                  <m:r>
                    <m:t>+1:</m:t>
                  </m:r>
                  <m:r>
                    <m:t>t</m:t>
                  </m:r>
                  <m:r>
                    <m:t>+</m:t>
                  </m:r>
                  <m:r>
                    <m:t>H</m:t>
                  </m:r>
                </m:sub>
              </m:sSub>
              <m:r>
                <m:t>‖₂</m:t>
              </m:r>
            </m:e>
            <m:sup>
              <m:r>
                <m:t>2</m:t>
              </m:r>
            </m:sup>
          </m:sSup>
          <m:r>
            <m:t xml:space="preserve">],  </m:t>
          </m:r>
          <m:r>
            <m:t>H</m:t>
          </m:r>
          <m:r>
            <m:t>=8    (8)</m:t>
          </m:r>
        </m:oMath>
      </m:oMathPara>
    </w:p>
    <w:p w14:paraId="224813C4" w14:textId="77777777" w:rsidR="003F4541" w:rsidRDefault="00593922">
      <w:pPr>
        <w:ind w:firstLine="288"/>
        <w:jc w:val="both"/>
      </w:pPr>
      <w:r>
        <w:t>Here, D_hat_{t+1:t+H} is the predicted future displa</w:t>
      </w:r>
      <w:r>
        <w:t>cement sequence, and D_{t+1:t+H} is the observed future displacement sequence. The full training objective combines the PPO loss with the auxiliary trajectory prediction loss in (9).</w:t>
      </w:r>
    </w:p>
    <w:p w14:paraId="422B1088" w14:textId="77777777" w:rsidR="003F4541" w:rsidRDefault="00593922">
      <w:pPr>
        <w:pStyle w:val="DisplayEquation"/>
        <w:spacing w:before="60" w:after="60"/>
        <w:jc w:val="center"/>
      </w:pPr>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298A5734" w:rsidR="003F4541" w:rsidRDefault="00F772BD">
      <w:pPr>
        <w:ind w:firstLine="288"/>
        <w:jc w:val="both"/>
      </w:pPr>
      <w:r w:rsidRPr="00F772BD">
        <w:t>The coefficient</w:t>
      </w:r>
      <w:r>
        <w:t xml:space="preserve"> </w:t>
      </w:r>
      <w:proofErr w:type="spellStart"/>
      <w:r w:rsidR="00593922">
        <w:t>lambda_traj</w:t>
      </w:r>
      <w:proofErr w:type="spellEnd"/>
      <w:r w:rsidR="00593922">
        <w:t xml:space="preserve"> c</w:t>
      </w:r>
      <w:r w:rsidR="00593922">
        <w:t>ontrols the auxiliary loss weight. Because the auxiliary dynamics head shares the encoder with the policy, its gradients also update the spatial and temporal streams. These gradients encourage the encoder to capture motion inertia, delay, and interaction d</w:t>
      </w:r>
      <w:r w:rsidR="00593922">
        <w:t>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t>The preceding encoder addresses how recent hand motion is represented within an interaction. Generalization across pursuit behaviors also depends on which h</w:t>
      </w:r>
      <w:r>
        <w:t>and policies the robot encounters during training. A robot trained against a single hand policy may overspecialize and fail when the pursuit strategy changes. Simultaneous training of the robot and hand creates a different problem because both agents joint</w:t>
      </w:r>
      <w:r>
        <w:t>ly determine the next state and return. Updating both policies together changes each agent's effective environment, violating the stationarity assumption used by PPO. In practice, the interaction can enter a cycle in which the robot exploits the current ha</w:t>
      </w:r>
      <w:r>
        <w:t>nd policy, the hand adapts, and the robot loses strategies that were useful against earlier hands.</w:t>
      </w:r>
    </w:p>
    <w:p w14:paraId="323FBF4C" w14:textId="77777777" w:rsidR="003F4541" w:rsidRDefault="00593922">
      <w:pPr>
        <w:ind w:firstLine="288"/>
        <w:jc w:val="both"/>
      </w:pPr>
      <w:r>
        <w:t>The training schedule separates the two sides of learning and retains older hand behaviors in a shared pool. During robot training, sampled hand policies are</w:t>
      </w:r>
      <w:r>
        <w:t xml:space="preserve"> fixed and treated as part of the environment. During hand training, the robot policy is fixed. The robot is trained against a pool P containing the SPC and learned hand policies from previous stages. This pool exposes the robot to direct pursuit as well a</w:t>
      </w:r>
      <w:r>
        <w:t>s more strategic interception patterns. It broadens the distribution of hand behaviors without making the task purely adversarial, since the robot must maintain the ZPD interaction rather than simply maximize escape.</w:t>
      </w:r>
    </w:p>
    <w:p w14:paraId="529A998E" w14:textId="77777777" w:rsidR="003F4541" w:rsidRDefault="00593922">
      <w:pPr>
        <w:ind w:firstLine="288"/>
        <w:jc w:val="both"/>
      </w:pPr>
      <w:r>
        <w:lastRenderedPageBreak/>
        <w:t>Algorithm 1 summarizes the iterative pr</w:t>
      </w:r>
      <w:r>
        <w:t>ocedure. Each iteration first trains the robot against hands sampled from the fixed pool. It then trains a new hand policy against the frozen robot, initializes that hand from the previous learned hand when available, and adds the resulting policy to the p</w:t>
      </w:r>
      <w:r>
        <w:t>ool for the next phase of robot training.</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r>
              <w:rPr>
                <w:b/>
                <w:sz w:val="18"/>
              </w:rPr>
              <w:t>Algorithm 1: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π_R^(0), scripted pursuit controller π_H^SPC, number of league iterations N.</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P ← {π_H^SPC}.</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n = 1, 2, ..., N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2. Train robot policy π_R^(n) with PPO against hand policies sampled from P.</w:t>
            </w:r>
          </w:p>
        </w:tc>
      </w:tr>
      <w:tr w:rsidR="003F4541" w14:paraId="7503184B" w14:textId="77777777">
        <w:trPr>
          <w:jc w:val="center"/>
        </w:trPr>
        <w:tc>
          <w:tcPr>
            <w:tcW w:w="10224" w:type="dxa"/>
          </w:tcPr>
          <w:p w14:paraId="564A21E4" w14:textId="77777777" w:rsidR="003F4541" w:rsidRDefault="00593922">
            <w:pPr>
              <w:ind w:left="259"/>
            </w:pPr>
            <w:r>
              <w:rPr>
                <w:sz w:val="18"/>
              </w:rPr>
              <w:t>3. Initialize hand policy π_H^(n) from π_H^(n-1)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π_H^(n) against the frozen </w:t>
            </w:r>
            <w:r>
              <w:rPr>
                <w:sz w:val="18"/>
              </w:rPr>
              <w:t>robot policy π_R^(n).</w:t>
            </w:r>
          </w:p>
        </w:tc>
      </w:tr>
      <w:tr w:rsidR="003F4541" w14:paraId="421289BD" w14:textId="77777777">
        <w:trPr>
          <w:jc w:val="center"/>
        </w:trPr>
        <w:tc>
          <w:tcPr>
            <w:tcW w:w="10224" w:type="dxa"/>
          </w:tcPr>
          <w:p w14:paraId="4081792D" w14:textId="77777777" w:rsidR="003F4541" w:rsidRDefault="00593922">
            <w:pPr>
              <w:ind w:left="259"/>
            </w:pPr>
            <w:r>
              <w:rPr>
                <w:sz w:val="18"/>
              </w:rPr>
              <w:t>5. Update pool of hand policies P ← P ∪ {π_H^(n)}.</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t>Uniform sampling from the pool of learned hands is inefficient because different hands challenge the current robot to different degrees. Recent episode length provides a</w:t>
      </w:r>
      <w:r>
        <w:t xml:space="preserve"> simple competitiveness signal. Short episodes usually indicate that the hand quickly catches the microrobot or forces early termination, so the corresponding hand should be sampled more often during the next phase of robot training. For learned hand i, le</w:t>
      </w:r>
      <w:r>
        <w:t>t l_bar_i be its recent mean episode length. Its sampling score is inversely related to this length and is smoothed with a uniform mixture.</w:t>
      </w:r>
    </w:p>
    <w:p w14:paraId="15612FEA" w14:textId="77777777" w:rsidR="003F4541" w:rsidRDefault="00593922">
      <w:pPr>
        <w:pStyle w:val="DisplayEquation"/>
        <w:spacing w:before="60" w:after="60"/>
        <w:jc w:val="center"/>
      </w:pPr>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m:t>
          </m:r>
          <m:r>
            <m:t>μ</m:t>
          </m:r>
          <m:r>
            <m:t>)</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t>Here, m is the number of learned hand policies, ε_l is a</w:t>
      </w:r>
      <w:r>
        <w:t xml:space="preserve"> small stabilizing constant, and μ controls the uniform exploration mass. The SPC remains in the pool with a fixed sampling probability, while the probability assigned to learned hands follows (10). This keeps the scripted pursuit behavior available and co</w:t>
      </w:r>
      <w:r>
        <w:t>ncentrates the remaining episodes of robot training on learned hands that still expose weaknesses in the current robot policy.</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The simulation experi</w:t>
      </w:r>
      <w:r>
        <w:t xml:space="preserve">ments measure robustness across hand behaviors and isolate the contribution of temporal encoding of hand history. The physical deployment test evaluates whether the learned policy can run online within the perception and control stack of the physical robotic platform </w:t>
      </w:r>
      <w:r>
        <w:t>and whether the realized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 xml:space="preserve">The simulation study separates two sources of performance gain in the proposed framework. The league analysis tests whether expanding the </w:t>
      </w:r>
      <w:r>
        <w:t>pool of hand policies improves robustness across pursuit behaviors. The ablation analysis tests whether temporal encoding of hand motion and the auxiliary dynamics objective improve the learned robot representation. Both analyses use the simulation environ</w:t>
      </w:r>
      <w:r>
        <w:t>ment described in Section II, with the robot controlling the microrobot and the hand motion generated by the behavior models described in Section III.</w:t>
      </w:r>
    </w:p>
    <w:p w14:paraId="2B89C53E" w14:textId="77777777" w:rsidR="003F4541" w:rsidRDefault="00593922">
      <w:pPr>
        <w:ind w:firstLine="288"/>
        <w:jc w:val="both"/>
      </w:pPr>
      <w:r>
        <w:t>All simulation evaluations used the same planar workspace and the target ZPD band defined in Section II.B</w:t>
      </w:r>
      <w:r>
        <w:t xml:space="preserve">. A timestep was counted as within the zone when the distance between the hand and microrobot fell inside the target ZPD band. The simulator and the physical workspace share the same calibrated coordinate convention, so one workspace unit corresponds to 1 </w:t>
      </w:r>
      <w:r>
        <w:t>cm after calibration and can be compared directly with physical rollout distances. The physical rollout in Section IV.D used the same target ZPD band for zero-shot consistency, not to suggest that this operating setting is clinically optimal for every user</w:t>
      </w:r>
      <w:r>
        <w:t>.</w:t>
      </w:r>
    </w:p>
    <w:p w14:paraId="5F60AEB1" w14:textId="77777777" w:rsidR="003F4541" w:rsidRDefault="00593922">
      <w:pPr>
        <w:ind w:firstLine="288"/>
        <w:jc w:val="both"/>
      </w:pPr>
      <w:r>
        <w:t>Time in Zone (TIZ) is the primary metric. It measures the fraction of the full episode horizon for which the distance between the hand and microrobot remains inside the target ZPD band. Episode length is reported in simulation steps and measures how long</w:t>
      </w:r>
      <w:r>
        <w:t xml:space="preserve"> the interaction remains active before catch, workspace exit, or the maximum horizon. For the league analysis, robustness across learned hand policies is summarized by mean TIZ and by the lowest TIZ among the tested hands. For the network ablation, TIZ is </w:t>
      </w:r>
      <w:r>
        <w:t>complemented by workspace coverage and mean jerk, which respectively measure task coverage and motion smoothness in the final policy evaluation.</w:t>
      </w:r>
    </w:p>
    <w:p w14:paraId="1B1AADF8" w14:textId="77777777" w:rsidR="003F4541" w:rsidRDefault="00593922">
      <w:pPr>
        <w:ind w:firstLine="288"/>
        <w:jc w:val="both"/>
      </w:pPr>
      <w:r>
        <w:lastRenderedPageBreak/>
        <w:t xml:space="preserve">The comparison of training protocols uses an SPC baseline trained only against the stochastic scripted pursuit </w:t>
      </w:r>
      <w:r>
        <w:t>controller, a single policy baseline trained against one learned hand policy, and a league policy trained through iterative expansion of the hand pool. The robot policies are evaluated across learned hand generations in Fig. 3 and under three representativ</w:t>
      </w:r>
      <w:r>
        <w:t>e pursuit conditions in Table II. The representation comparison keeps the training setting fixed while changing the policy encoder. The MLP baseline uses instantaneous geometry, the GRU policy adds recent relative hand displacement, and the auxiliary GRU p</w:t>
      </w:r>
      <w:r>
        <w:t>olicy adds the objective for future dynamics prediction.</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t>The league evaluation asks whether an expanding pool of hand policies improves robustness across pursuit behaviors, rather than only improving p</w:t>
      </w:r>
      <w:r>
        <w:t xml:space="preserve">erformance against the most recent hand policy. After each robot generation is trained, it is evaluated against all learned hand generations in the pool. This separates generalization across hand behaviors from progress against a single training opponent. </w:t>
      </w:r>
      <w:r>
        <w:t>In Fig. 3(a), each row fixes one robot generation and each column fixes one learned hand generation. Early robot generations perform well only for limited parts of the hand pool, whereas later generations maintain stronger TIZ over a broader set of learned</w:t>
      </w:r>
      <w:r>
        <w:t xml:space="preserve"> hands, suggesting reduced specialization. Fig. 3(b) summarizes the same matrix through mean TIZ and the lowest TIZ across tested hands. The mean curve reflects typical performance, and the lower curve tracks the most difficult learned hand for each robot </w:t>
      </w:r>
      <w:r>
        <w:t>generation. Both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Validation of robot policies trained through league across learned hand generations using the target ZPD band. (a) TIZ matrix obtained by evaluating each robot g</w:t>
      </w:r>
      <w:r>
        <w:t>eneration against each learned hand generation. Rows correspond to robot generations, and columns correspond to learned hand generations. (b) Mean TIZ and lowest TIZ across the learned hand test policies for each robot generation.</w:t>
      </w:r>
    </w:p>
    <w:p w14:paraId="1AC04053" w14:textId="77777777" w:rsidR="003F4541" w:rsidRDefault="00593922">
      <w:pPr>
        <w:ind w:firstLine="288"/>
        <w:jc w:val="both"/>
      </w:pPr>
      <w:r>
        <w:t>Table II extends the cross-generation analysis in Fig. 3 by comparing the SPC-only baseline, the single-opponent baseline, and the final league policy under SPC, learned-hand, and manual mouse pursuit. The learned-hand condition uses H1, the hand policy obtained after the first hand-training phase of the league procedure. The same H1 checkpoint is used to evaluate all three robot policies. H1 is also the sole training opponent for the single-opponent baseline and one member of the historical hand pool used for league training. For the automated SPC and H1 conditions, results are reported as the mean ± sample standard deviation across ten independently seeded evaluation trials, with 100 episodes per trial. The manual mouse condition was completed by one healthy operator who used the mouse interface to pursue and catch the simulated microrobot as quickly as possible. This condition introduces human reaction time and voluntary pursuit behavior but does not reproduce the biomechanics or perception noise of physical hand tracking. It is therefore treated as a human-in-the-loop stress test rather than clinical validation. Higher TIZ and longer episodes indicate that difficulty regulation was sustained for a larger portion of the interaction.</w:t>
      </w:r>
      <w:r>
        <w:t/>
      </w:r>
      <w:r>
        <w:t/>
      </w:r>
      <w:r>
        <w:t/>
      </w:r>
      <w:r>
        <w:t/>
      </w:r>
    </w:p>
    <w:p w14:paraId="5C7076A9" w14:textId="77777777" w:rsidR="003F4541" w:rsidRDefault="00593922">
      <w:pPr>
        <w:pStyle w:val="IEEECaption"/>
        <w:jc w:val="center"/>
      </w:pPr>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rsidR="003F4541" w14:paraId="6876CF4A" w14:textId="77777777">
        <w:trPr>
          <w:jc w:val="center"/>
        </w:trPr>
        <w:tc>
          <w:tcPr>
            <w:tcW w:w="2556" w:type="dxa"/>
            <w:shd w:val="clear" w:color="auto" w:fill="EDEDED"/>
            <w:vAlign w:val="center"/>
          </w:tcPr>
          <w:p w14:paraId="6185084F" w14:textId="77777777" w:rsidR="003F4541" w:rsidRDefault="00593922">
            <w:pPr>
              <w:jc w:val="center"/>
            </w:pPr>
            <w:r>
              <w:rPr>
                <w:b/>
                <w:sz w:val="17"/>
              </w:rPr>
              <w:t>Robot policy</w:t>
            </w:r>
          </w:p>
        </w:tc>
        <w:tc>
          <w:tcPr>
            <w:tcW w:w="2556" w:type="dxa"/>
            <w:shd w:val="clear" w:color="auto" w:fill="EDEDED"/>
            <w:vAlign w:val="center"/>
          </w:tcPr>
          <w:p w14:paraId="479CB383" w14:textId="77777777" w:rsidR="003F4541" w:rsidRDefault="00593922">
            <w:pPr>
              <w:jc w:val="center"/>
            </w:pPr>
            <w:r>
              <w:rPr>
                <w:b/>
                <w:sz w:val="17"/>
              </w:rPr>
              <w:t>Pursuit condition</w:t>
            </w:r>
          </w:p>
        </w:tc>
        <w:tc>
          <w:tcPr>
            <w:tcW w:w="2556" w:type="dxa"/>
            <w:shd w:val="clear" w:color="auto" w:fill="EDEDED"/>
            <w:vAlign w:val="center"/>
          </w:tcPr>
          <w:p w14:paraId="619F893F" w14:textId="77777777" w:rsidR="003F4541" w:rsidRDefault="00593922">
            <w:pPr>
              <w:jc w:val="center"/>
            </w:pPr>
            <w:r>
              <w:rPr>
                <w:b/>
                <w:sz w:val="17"/>
              </w:rPr>
              <w:t>TIZ</w:t>
            </w:r>
          </w:p>
        </w:tc>
        <w:tc>
          <w:tcPr>
            <w:tcW w:w="2556" w:type="dxa"/>
            <w:shd w:val="clear" w:color="auto" w:fill="EDEDED"/>
            <w:vAlign w:val="center"/>
          </w:tcPr>
          <w:p w14:paraId="40611BDD" w14:textId="77777777" w:rsidR="003F4541" w:rsidRDefault="00593922">
            <w:pPr>
              <w:jc w:val="center"/>
            </w:pPr>
            <w:r>
              <w:rPr>
                <w:b/>
                <w:sz w:val="17"/>
              </w:rPr>
              <w:t>Episode length (steps)</w:t>
            </w:r>
          </w:p>
        </w:tc>
      </w:tr>
      <w:tr w:rsidR="003F4541" w14:paraId="18D84A6F" w14:textId="77777777">
        <w:trPr>
          <w:jc w:val="center"/>
        </w:trPr>
        <w:tc>
          <w:tcPr>
            <w:tcW w:w="2556" w:type="dxa"/>
            <w:vAlign w:val="center"/>
          </w:tcPr>
          <w:p w14:paraId="30FB3A34" w14:textId="77777777" w:rsidR="003F4541" w:rsidRDefault="00593922">
            <w:pPr>
              <w:jc w:val="center"/>
            </w:pPr>
            <w:r>
              <w:rPr>
                <w:sz w:val="17"/>
              </w:rPr>
              <w:t>SPC-only baseline</w:t>
            </w:r>
          </w:p>
        </w:tc>
        <w:tc>
          <w:tcPr>
            <w:tcW w:w="2556" w:type="dxa"/>
            <w:vAlign w:val="center"/>
          </w:tcPr>
          <w:p w14:paraId="30F49B15" w14:textId="77777777" w:rsidR="003F4541" w:rsidRDefault="00593922">
            <w:pPr>
              <w:jc w:val="center"/>
            </w:pPr>
            <w:r>
              <w:rPr>
                <w:sz w:val="17"/>
              </w:rPr>
              <w:t>SPC</w:t>
            </w:r>
          </w:p>
        </w:tc>
        <w:tc>
          <w:tcPr>
            <w:tcW w:w="2556" w:type="dxa"/>
            <w:vAlign w:val="center"/>
          </w:tcPr>
          <w:p w14:paraId="32EE4554" w14:textId="77777777" w:rsidR="003F4541" w:rsidRDefault="00593922">
            <w:pPr>
              <w:jc w:val="center"/>
            </w:pPr>
            <w:r>
              <w:rPr>
                <w:sz w:val="17"/>
              </w:rPr>
              <w:t>0.31 ± 0.03</w:t>
            </w:r>
          </w:p>
        </w:tc>
        <w:tc>
          <w:tcPr>
            <w:tcW w:w="2556" w:type="dxa"/>
            <w:vAlign w:val="center"/>
          </w:tcPr>
          <w:p w14:paraId="79E6730A" w14:textId="77777777" w:rsidR="003F4541" w:rsidRDefault="00593922">
            <w:pPr>
              <w:jc w:val="center"/>
            </w:pPr>
            <w:r>
              <w:rPr>
                <w:sz w:val="17"/>
              </w:rPr>
              <w:t>54 ± 4</w:t>
            </w:r>
          </w:p>
        </w:tc>
      </w:tr>
      <w:tr w:rsidR="003F4541" w14:paraId="46DC1400" w14:textId="77777777">
        <w:trPr>
          <w:jc w:val="center"/>
        </w:trPr>
        <w:tc>
          <w:tcPr>
            <w:tcW w:w="2556" w:type="dxa"/>
            <w:vAlign w:val="center"/>
          </w:tcPr>
          <w:p w14:paraId="3CAC4B48" w14:textId="77777777" w:rsidR="003F4541" w:rsidRDefault="00593922">
            <w:pPr>
              <w:jc w:val="center"/>
            </w:pPr>
            <w:r>
              <w:rPr>
                <w:sz w:val="17"/>
              </w:rPr>
              <w:t>SPC-only baseline</w:t>
            </w:r>
          </w:p>
        </w:tc>
        <w:tc>
          <w:tcPr>
            <w:tcW w:w="2556" w:type="dxa"/>
            <w:vAlign w:val="center"/>
          </w:tcPr>
          <w:p w14:paraId="38D0E385" w14:textId="77777777" w:rsidR="003F4541" w:rsidRDefault="00593922">
            <w:pPr>
              <w:jc w:val="center"/>
            </w:pPr>
            <w:r>
              <w:rPr>
                <w:sz w:val="17"/>
              </w:rPr>
              <w:t>Learned hand H1</w:t>
            </w:r>
          </w:p>
        </w:tc>
        <w:tc>
          <w:tcPr>
            <w:tcW w:w="2556" w:type="dxa"/>
            <w:vAlign w:val="center"/>
          </w:tcPr>
          <w:p w14:paraId="40B54167" w14:textId="77777777" w:rsidR="003F4541" w:rsidRDefault="00593922">
            <w:pPr>
              <w:jc w:val="center"/>
            </w:pPr>
            <w:r>
              <w:rPr>
                <w:sz w:val="17"/>
              </w:rPr>
              <w:t>0.21 ± 0.02</w:t>
            </w:r>
          </w:p>
        </w:tc>
        <w:tc>
          <w:tcPr>
            <w:tcW w:w="2556" w:type="dxa"/>
            <w:vAlign w:val="center"/>
          </w:tcPr>
          <w:p w14:paraId="049AEF54" w14:textId="77777777" w:rsidR="003F4541" w:rsidRDefault="00593922">
            <w:pPr>
              <w:jc w:val="center"/>
            </w:pPr>
            <w:r>
              <w:rPr>
                <w:sz w:val="17"/>
              </w:rPr>
              <w:t>32 ± 2</w:t>
            </w:r>
          </w:p>
        </w:tc>
      </w:tr>
      <w:tr w:rsidR="003F4541" w14:paraId="5F21F774" w14:textId="77777777">
        <w:trPr>
          <w:jc w:val="center"/>
        </w:trPr>
        <w:tc>
          <w:tcPr>
            <w:tcW w:w="2556" w:type="dxa"/>
            <w:vAlign w:val="center"/>
          </w:tcPr>
          <w:p w14:paraId="03F81D78" w14:textId="77777777" w:rsidR="003F4541" w:rsidRDefault="00593922">
            <w:pPr>
              <w:jc w:val="center"/>
            </w:pPr>
            <w:r>
              <w:rPr>
                <w:sz w:val="17"/>
              </w:rPr>
              <w:t>SPC-only baseline</w:t>
            </w:r>
          </w:p>
        </w:tc>
        <w:tc>
          <w:tcPr>
            <w:tcW w:w="2556" w:type="dxa"/>
            <w:vAlign w:val="center"/>
          </w:tcPr>
          <w:p w14:paraId="608F336C" w14:textId="77777777" w:rsidR="003F4541" w:rsidRDefault="00593922">
            <w:pPr>
              <w:jc w:val="center"/>
            </w:pPr>
            <w:r>
              <w:rPr>
                <w:sz w:val="17"/>
              </w:rPr>
              <w:t>Manual mouse</w:t>
            </w:r>
          </w:p>
        </w:tc>
        <w:tc>
          <w:tcPr>
            <w:tcW w:w="2556" w:type="dxa"/>
            <w:vAlign w:val="center"/>
          </w:tcPr>
          <w:p w14:paraId="70B4A43A" w14:textId="77777777" w:rsidR="003F4541" w:rsidRDefault="00593922">
            <w:pPr>
              <w:jc w:val="center"/>
            </w:pPr>
            <w:r>
              <w:rPr>
                <w:sz w:val="17"/>
              </w:rPr>
              <w:t>0.14</w:t>
            </w:r>
          </w:p>
        </w:tc>
        <w:tc>
          <w:tcPr>
            <w:tcW w:w="2556" w:type="dxa"/>
            <w:vAlign w:val="center"/>
          </w:tcPr>
          <w:p w14:paraId="5D0D37C9" w14:textId="77777777" w:rsidR="003F4541" w:rsidRDefault="00593922">
            <w:pPr>
              <w:jc w:val="center"/>
            </w:pPr>
            <w:r>
              <w:rPr>
                <w:sz w:val="17"/>
              </w:rPr>
              <w:t>33</w:t>
            </w:r>
          </w:p>
        </w:tc>
      </w:tr>
      <w:tr w:rsidR="003F4541" w14:paraId="0D94EA31" w14:textId="77777777">
        <w:trPr>
          <w:jc w:val="center"/>
        </w:trPr>
        <w:tc>
          <w:tcPr>
            <w:tcW w:w="2556" w:type="dxa"/>
            <w:vAlign w:val="center"/>
          </w:tcPr>
          <w:p w14:paraId="351F0A63" w14:textId="77777777" w:rsidR="003F4541" w:rsidRDefault="00593922">
            <w:pPr>
              <w:jc w:val="center"/>
            </w:pPr>
            <w:r>
              <w:rPr>
                <w:sz w:val="17"/>
              </w:rPr>
              <w:lastRenderedPageBreak/>
              <w:t>Single-opponent baseline</w:t>
            </w:r>
          </w:p>
        </w:tc>
        <w:tc>
          <w:tcPr>
            <w:tcW w:w="2556" w:type="dxa"/>
            <w:vAlign w:val="center"/>
          </w:tcPr>
          <w:p w14:paraId="02DE4B5D" w14:textId="77777777" w:rsidR="003F4541" w:rsidRDefault="00593922">
            <w:pPr>
              <w:jc w:val="center"/>
            </w:pPr>
            <w:r>
              <w:rPr>
                <w:sz w:val="17"/>
              </w:rPr>
              <w:t>SPC</w:t>
            </w:r>
          </w:p>
        </w:tc>
        <w:tc>
          <w:tcPr>
            <w:tcW w:w="2556" w:type="dxa"/>
            <w:vAlign w:val="center"/>
          </w:tcPr>
          <w:p w14:paraId="24FDE8A2" w14:textId="77777777" w:rsidR="003F4541" w:rsidRDefault="00593922">
            <w:pPr>
              <w:jc w:val="center"/>
            </w:pPr>
            <w:r>
              <w:rPr>
                <w:sz w:val="17"/>
              </w:rPr>
              <w:t>0.11 ± 0.01</w:t>
            </w:r>
          </w:p>
        </w:tc>
        <w:tc>
          <w:tcPr>
            <w:tcW w:w="2556" w:type="dxa"/>
            <w:vAlign w:val="center"/>
          </w:tcPr>
          <w:p w14:paraId="3BD24B06" w14:textId="77777777" w:rsidR="003F4541" w:rsidRDefault="00593922">
            <w:pPr>
              <w:jc w:val="center"/>
            </w:pPr>
            <w:r>
              <w:rPr>
                <w:sz w:val="17"/>
              </w:rPr>
              <w:t>25 ± 1</w:t>
            </w:r>
          </w:p>
        </w:tc>
      </w:tr>
      <w:tr w:rsidR="003F4541" w14:paraId="56ED10A4" w14:textId="77777777">
        <w:trPr>
          <w:jc w:val="center"/>
        </w:trPr>
        <w:tc>
          <w:tcPr>
            <w:tcW w:w="2556" w:type="dxa"/>
            <w:vAlign w:val="center"/>
          </w:tcPr>
          <w:p w14:paraId="24E91871" w14:textId="77777777" w:rsidR="003F4541" w:rsidRDefault="00593922">
            <w:pPr>
              <w:jc w:val="center"/>
            </w:pPr>
            <w:r>
              <w:rPr>
                <w:sz w:val="17"/>
              </w:rPr>
              <w:t>Single-opponent baseline</w:t>
            </w:r>
          </w:p>
        </w:tc>
        <w:tc>
          <w:tcPr>
            <w:tcW w:w="2556" w:type="dxa"/>
            <w:vAlign w:val="center"/>
          </w:tcPr>
          <w:p w14:paraId="1D5B7B33" w14:textId="77777777" w:rsidR="003F4541" w:rsidRDefault="00593922">
            <w:pPr>
              <w:jc w:val="center"/>
            </w:pPr>
            <w:r>
              <w:rPr>
                <w:sz w:val="17"/>
              </w:rPr>
              <w:t>Learned hand H1</w:t>
            </w:r>
          </w:p>
        </w:tc>
        <w:tc>
          <w:tcPr>
            <w:tcW w:w="2556" w:type="dxa"/>
            <w:vAlign w:val="center"/>
          </w:tcPr>
          <w:p w14:paraId="59920654" w14:textId="77777777" w:rsidR="003F4541" w:rsidRDefault="00593922">
            <w:pPr>
              <w:jc w:val="center"/>
            </w:pPr>
            <w:r>
              <w:rPr>
                <w:sz w:val="17"/>
              </w:rPr>
              <w:t>0.51 ± 0.03</w:t>
            </w:r>
          </w:p>
        </w:tc>
        <w:tc>
          <w:tcPr>
            <w:tcW w:w="2556" w:type="dxa"/>
            <w:vAlign w:val="center"/>
          </w:tcPr>
          <w:p w14:paraId="5209A433" w14:textId="77777777" w:rsidR="003F4541" w:rsidRDefault="00593922">
            <w:pPr>
              <w:jc w:val="center"/>
            </w:pPr>
            <w:r>
              <w:rPr>
                <w:sz w:val="17"/>
              </w:rPr>
              <w:t>73 ± 3</w:t>
            </w:r>
          </w:p>
        </w:tc>
      </w:tr>
      <w:tr w:rsidR="003F4541" w14:paraId="4906FB2E" w14:textId="77777777">
        <w:trPr>
          <w:jc w:val="center"/>
        </w:trPr>
        <w:tc>
          <w:tcPr>
            <w:tcW w:w="2556" w:type="dxa"/>
            <w:vAlign w:val="center"/>
          </w:tcPr>
          <w:p w14:paraId="5FA454CB" w14:textId="77777777" w:rsidR="003F4541" w:rsidRDefault="00593922">
            <w:pPr>
              <w:jc w:val="center"/>
            </w:pPr>
            <w:r>
              <w:rPr>
                <w:sz w:val="17"/>
              </w:rPr>
              <w:t>Single-opponent baseline</w:t>
            </w:r>
          </w:p>
        </w:tc>
        <w:tc>
          <w:tcPr>
            <w:tcW w:w="2556" w:type="dxa"/>
            <w:vAlign w:val="center"/>
          </w:tcPr>
          <w:p w14:paraId="3E55DB32" w14:textId="77777777" w:rsidR="003F4541" w:rsidRDefault="00593922">
            <w:pPr>
              <w:jc w:val="center"/>
            </w:pPr>
            <w:r>
              <w:rPr>
                <w:sz w:val="17"/>
              </w:rPr>
              <w:t>Manual mouse</w:t>
            </w:r>
          </w:p>
        </w:tc>
        <w:tc>
          <w:tcPr>
            <w:tcW w:w="2556" w:type="dxa"/>
            <w:vAlign w:val="center"/>
          </w:tcPr>
          <w:p w14:paraId="7EC6D2C5" w14:textId="77777777" w:rsidR="003F4541" w:rsidRDefault="00593922">
            <w:pPr>
              <w:jc w:val="center"/>
            </w:pPr>
            <w:r>
              <w:rPr>
                <w:sz w:val="17"/>
              </w:rPr>
              <w:t>0.19</w:t>
            </w:r>
          </w:p>
        </w:tc>
        <w:tc>
          <w:tcPr>
            <w:tcW w:w="2556" w:type="dxa"/>
            <w:vAlign w:val="center"/>
          </w:tcPr>
          <w:p w14:paraId="2C90C5F4" w14:textId="77777777" w:rsidR="003F4541" w:rsidRDefault="00593922">
            <w:pPr>
              <w:jc w:val="center"/>
            </w:pPr>
            <w:r>
              <w:rPr>
                <w:sz w:val="17"/>
              </w:rPr>
              <w:t>41</w:t>
            </w:r>
          </w:p>
        </w:tc>
      </w:tr>
      <w:tr w:rsidR="003F4541" w14:paraId="20820E41" w14:textId="77777777">
        <w:trPr>
          <w:jc w:val="center"/>
        </w:trPr>
        <w:tc>
          <w:tcPr>
            <w:tcW w:w="2556" w:type="dxa"/>
            <w:vAlign w:val="center"/>
          </w:tcPr>
          <w:p w14:paraId="2BDEEFE0" w14:textId="77777777" w:rsidR="003F4541" w:rsidRDefault="00593922">
            <w:pPr>
              <w:jc w:val="center"/>
            </w:pPr>
            <w:r>
              <w:rPr>
                <w:sz w:val="17"/>
              </w:rPr>
              <w:t>League policy</w:t>
            </w:r>
          </w:p>
        </w:tc>
        <w:tc>
          <w:tcPr>
            <w:tcW w:w="2556" w:type="dxa"/>
            <w:vAlign w:val="center"/>
          </w:tcPr>
          <w:p w14:paraId="22A527E3" w14:textId="77777777" w:rsidR="003F4541" w:rsidRDefault="00593922">
            <w:pPr>
              <w:jc w:val="center"/>
            </w:pPr>
            <w:r>
              <w:rPr>
                <w:sz w:val="17"/>
              </w:rPr>
              <w:t>SPC</w:t>
            </w:r>
          </w:p>
        </w:tc>
        <w:tc>
          <w:tcPr>
            <w:tcW w:w="2556" w:type="dxa"/>
            <w:vAlign w:val="center"/>
          </w:tcPr>
          <w:p w14:paraId="34F7FC31" w14:textId="77777777" w:rsidR="003F4541" w:rsidRDefault="00593922">
            <w:pPr>
              <w:jc w:val="center"/>
            </w:pPr>
            <w:r>
              <w:rPr>
                <w:sz w:val="17"/>
              </w:rPr>
              <w:t>0.36 ± 0.03</w:t>
            </w:r>
          </w:p>
        </w:tc>
        <w:tc>
          <w:tcPr>
            <w:tcW w:w="2556" w:type="dxa"/>
            <w:vAlign w:val="center"/>
          </w:tcPr>
          <w:p w14:paraId="2892BDA4" w14:textId="77777777" w:rsidR="003F4541" w:rsidRDefault="00593922">
            <w:pPr>
              <w:jc w:val="center"/>
            </w:pPr>
            <w:r>
              <w:rPr>
                <w:sz w:val="17"/>
              </w:rPr>
              <w:t>60 ± 3</w:t>
            </w:r>
          </w:p>
        </w:tc>
      </w:tr>
      <w:tr w:rsidR="003F4541" w14:paraId="1270CD44" w14:textId="77777777">
        <w:trPr>
          <w:jc w:val="center"/>
        </w:trPr>
        <w:tc>
          <w:tcPr>
            <w:tcW w:w="2556" w:type="dxa"/>
            <w:vAlign w:val="center"/>
          </w:tcPr>
          <w:p w14:paraId="386986A4" w14:textId="77777777" w:rsidR="003F4541" w:rsidRDefault="00593922">
            <w:pPr>
              <w:jc w:val="center"/>
            </w:pPr>
            <w:r>
              <w:rPr>
                <w:sz w:val="17"/>
              </w:rPr>
              <w:t>League policy</w:t>
            </w:r>
          </w:p>
        </w:tc>
        <w:tc>
          <w:tcPr>
            <w:tcW w:w="2556" w:type="dxa"/>
            <w:vAlign w:val="center"/>
          </w:tcPr>
          <w:p w14:paraId="435F0FCE" w14:textId="77777777" w:rsidR="003F4541" w:rsidRDefault="00593922">
            <w:pPr>
              <w:jc w:val="center"/>
            </w:pPr>
            <w:r>
              <w:rPr>
                <w:sz w:val="17"/>
              </w:rPr>
              <w:t>Learned hand H1</w:t>
            </w:r>
          </w:p>
        </w:tc>
        <w:tc>
          <w:tcPr>
            <w:tcW w:w="2556" w:type="dxa"/>
            <w:vAlign w:val="center"/>
          </w:tcPr>
          <w:p w14:paraId="30EE1D97" w14:textId="77777777" w:rsidR="003F4541" w:rsidRDefault="00593922">
            <w:pPr>
              <w:jc w:val="center"/>
            </w:pPr>
            <w:r>
              <w:rPr>
                <w:sz w:val="17"/>
              </w:rPr>
              <w:t>0.45 ± 0.03</w:t>
            </w:r>
          </w:p>
        </w:tc>
        <w:tc>
          <w:tcPr>
            <w:tcW w:w="2556" w:type="dxa"/>
            <w:vAlign w:val="center"/>
          </w:tcPr>
          <w:p w14:paraId="39F1F5D5" w14:textId="77777777" w:rsidR="003F4541" w:rsidRDefault="00593922">
            <w:pPr>
              <w:jc w:val="center"/>
            </w:pPr>
            <w:r>
              <w:rPr>
                <w:sz w:val="17"/>
              </w:rPr>
              <w:t>61 ± 3</w:t>
            </w:r>
          </w:p>
        </w:tc>
      </w:tr>
      <w:tr w:rsidR="003F4541" w14:paraId="48F1280E" w14:textId="77777777">
        <w:trPr>
          <w:jc w:val="center"/>
        </w:trPr>
        <w:tc>
          <w:tcPr>
            <w:tcW w:w="2556" w:type="dxa"/>
            <w:vAlign w:val="center"/>
          </w:tcPr>
          <w:p w14:paraId="0C7F57DD" w14:textId="77777777" w:rsidR="003F4541" w:rsidRDefault="00593922">
            <w:pPr>
              <w:jc w:val="center"/>
            </w:pPr>
            <w:r>
              <w:rPr>
                <w:sz w:val="17"/>
              </w:rPr>
              <w:t>League policy</w:t>
            </w:r>
          </w:p>
        </w:tc>
        <w:tc>
          <w:tcPr>
            <w:tcW w:w="2556" w:type="dxa"/>
            <w:vAlign w:val="center"/>
          </w:tcPr>
          <w:p w14:paraId="0C5A6892" w14:textId="77777777" w:rsidR="003F4541" w:rsidRDefault="00593922">
            <w:pPr>
              <w:jc w:val="center"/>
            </w:pPr>
            <w:r>
              <w:rPr>
                <w:sz w:val="17"/>
              </w:rPr>
              <w:t>Manual mouse</w:t>
            </w:r>
          </w:p>
        </w:tc>
        <w:tc>
          <w:tcPr>
            <w:tcW w:w="2556" w:type="dxa"/>
            <w:vAlign w:val="center"/>
          </w:tcPr>
          <w:p w14:paraId="036A4DC2" w14:textId="77777777" w:rsidR="003F4541" w:rsidRDefault="00593922">
            <w:pPr>
              <w:jc w:val="center"/>
            </w:pPr>
            <w:r>
              <w:rPr>
                <w:sz w:val="17"/>
              </w:rPr>
              <w:t>0.49</w:t>
            </w:r>
          </w:p>
        </w:tc>
        <w:tc>
          <w:tcPr>
            <w:tcW w:w="2556" w:type="dxa"/>
            <w:vAlign w:val="center"/>
          </w:tcPr>
          <w:p w14:paraId="2035BF1B" w14:textId="77777777" w:rsidR="003F4541" w:rsidRDefault="00593922">
            <w:pPr>
              <w:jc w:val="center"/>
            </w:pPr>
            <w:r>
              <w:rPr>
                <w:sz w:val="17"/>
              </w:rPr>
              <w:t>74</w:t>
            </w:r>
          </w:p>
        </w:tc>
      </w:tr>
    </w:tbl>
    <w:p w14:paraId="669A723B" w14:textId="77777777" w:rsidR="003F4541" w:rsidRDefault="00593922">
      <w:pPr>
        <w:ind w:firstLine="288"/>
        <w:jc w:val="both"/>
      </w:pPr>
      <w:r>
        <w:t/>
      </w:r>
      <w:r>
        <w:t/>
      </w:r>
      <w:r>
        <w:t/>
      </w:r>
    </w:p>
    <w:p w14:paraId="4E1D36C5" w14:textId="77777777" w:rsidR="003F4541" w:rsidRDefault="00593922">
      <w:pPr>
        <w:ind w:firstLine="288"/>
        <w:jc w:val="both"/>
      </w:pPr>
      <w:r>
        <w:t>The two nonleague baselines exhibit clear condition-specific specialization. The SPC-only baseline performs relatively well under SPC pursuit but deteriorates under H1 and manual mouse pursuit. Conversely, the single-opponent baseline achieves its strongest result against its H1 training opponent but performs poorly under SPC and manual pursuit. The league policy avoids this narrow specialization. Although it does not exceed the single-opponent baseline under H1, it maintains strong performance under both automated pursuit conditions and achieves the highest TIZ and episode length in the manual mouse test. These results indicate that training against a broader distribution of hand policies produces more consistent difficulty regulation across scripted, learned, and human-controlled pursuit behaviors.</w:t>
      </w:r>
      <w:r>
        <w:t/>
      </w:r>
      <w:r>
        <w:t/>
      </w:r>
      <w:r>
        <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t xml:space="preserve">The league results evaluate the diversity of hand behaviors used during training, while the network ablation tests whether the robot policy can use temporal </w:t>
      </w:r>
      <w:r>
        <w:t>information about hand motion once that diversity is present. The MLP baseline uses the instantaneous geometric state only, the GRU policy adds a history of relative displacement over 16 frames, and the auxiliary GRU further adds the dynamics prediction he</w:t>
      </w:r>
      <w:r>
        <w:t>ad described in Section III.B. The training curves in Fig. 4(a) and Fig. 4(b) show that temporal history improves optimization and interaction persistence. The GRU policies reach higher episode reward and longer episode length than the MLP baseline, indica</w:t>
      </w:r>
      <w:r>
        <w:t>ting that current geometry alone is insufficient for stable difficulty regulation when hand motion changes over time. The auxiliary GRU gives the strongest training curve, suggesting that the prediction loss helps the recurrent stream form a more useful mo</w:t>
      </w:r>
      <w:r>
        <w:t>tion representation.</w:t>
      </w:r>
    </w:p>
    <w:p w14:paraId="17266E63" w14:textId="77777777" w:rsidR="003F4541" w:rsidRDefault="00593922">
      <w:pPr>
        <w:ind w:firstLine="288"/>
        <w:jc w:val="both"/>
      </w:pPr>
      <w:r>
        <w:t>The auxiliary prediction examples in Fig. 4(c) provide a qualitative check on this representation. The predicted displacement over the short horizon generally follows the direction and curvature of the observed future hand motion rathe</w:t>
      </w:r>
      <w:r>
        <w:t>r than only reconstructing the current position. The final normalized metrics in Fig. 4(d) summarize the control effect of these representation changes. Recurrent history improves time within the ZPD and workspace coverage relative to the MLP baseline. Add</w:t>
      </w:r>
      <w:r>
        <w:t>ing the auxiliary prediction objective further improves these performance metrics while reducing mean jerk. Together, the ablation indicates that temporal hand history and auxiliary dynamics prediction contribute to smoother and more reliable difficulty re</w:t>
      </w:r>
      <w:r>
        <w:t>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w:t>
      </w:r>
      <w:r>
        <w:t>epresentative predictions from the auxiliary head over a short horizon compared with observed future hand motion. (d) Final performance metrics normalized to the MLP baseline; higher values are better for time within the ZPD and workspace coverage, whereas</w:t>
      </w:r>
      <w:r>
        <w:t xml:space="preserve">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To evaluate zero-shot transfer with real hand input, the simulation-trained policy was deployed on the physical microrobot platform without additional training. During each rollout, a healthy pilot pursued the passive microrobot across the acrylic workspace while the robotic arm moved the magnetic actuator beneath the surface. Nine rollouts were recorded during the deployment experiment. Camera observations and robot commands were processed online, allowing the policy to regulate microrobot motion under continuous feedback.</w:t>
      </w:r>
      <w:r>
        <w:t/>
      </w:r>
      <w:r>
        <w:t/>
      </w:r>
    </w:p>
    <w:p w14:paraId="068042A0" w14:textId="77777777" w:rsidR="003F4541" w:rsidRDefault="00593922">
      <w:pPr>
        <w:ind w:firstLine="288"/>
        <w:jc w:val="both"/>
      </w:pPr>
      <w:r>
        <w:t>The deployment system retained the observation structure used in simulation. Calibrated camera measurements provided the hand and microrobot positions, while workspace-boundary features, the previously executed robot command, and the recent history of relative hand displacement completed the policy input defined in (6) and (7). Robot state measurements were used only for command execution and system monitoring and were not included in the policy observation. The perception pipeline combined YOLO-based microrobot detection, MediaPipe hand tracking, and a planar homography that mapped image coordinates to the workspace. When hand tracking was briefly interrupted, the controller extrapolated hand motion from the most recent velocity estimate. Safety was enforced through workspace limits, bounded command increments, automatic stopping after capture, controlled stopping during shutdown or interruption, and a hardware emergency stop.</w:t>
      </w:r>
      <w:r>
        <w:t/>
      </w:r>
      <w:r>
        <w:t/>
      </w:r>
      <w:r>
        <w:t/>
      </w:r>
      <w:r>
        <w:t/>
      </w:r>
    </w:p>
    <w:p w14:paraId="01889B3E" w14:textId="77777777" w:rsidR="003F4541" w:rsidRDefault="00593922">
      <w:pPr>
        <w:ind w:firstLine="288"/>
        <w:jc w:val="both"/>
      </w:pPr>
      <w:r>
        <w:t>Fig. 5 shows a representative zero-shot rollout with image frames and motion traces aligned in time. During steady pursuit, the hand-microrobot distance remains near the target ZPD band. A sharp increase in hand speed briefly reduces the separation below the target range. The policy responds by increasing microrobot speed, and the distance returns to the ZPD band over the following seconds. When the hand later slows, microrobot speed decreases accordingly and the separation again approaches the target range. Similar coupled responses appear throughout the rollout, showing that the policy adjusts microrobot motion to changes in pursuit dynamics rather than applying a fixed-speed escape command. The final decrease in distance corresponds to capture and episode termination. Overall, the rollout shows online adaptation to abrupt changes in hand motion and recovery toward the intended interaction range after transient deviations.</w:t>
      </w:r>
      <w:r>
        <w:t/>
      </w:r>
      <w:r>
        <w:t/>
      </w:r>
      <w:r>
        <w:lastRenderedPageBreak/>
        <w:t/>
      </w:r>
      <w:r>
        <w:t/>
      </w:r>
      <w:r>
        <w:t/>
      </w:r>
      <w:r>
        <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r>
        <w:t>Fig. 5. Zero-shot physical deployment on the microrobot platform. (a) Representative frames from one of nine physical rollouts. (b) Smoothed hand-microrobot distance, target ZPD band, and measured hand and microrobot speeds from the same rollout.</w:t>
      </w:r>
      <w:r>
        <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B97FA3" w14:textId="77777777" w:rsidR="00593922" w:rsidRDefault="00593922" w:rsidP="0039565B">
      <w:pPr>
        <w:spacing w:after="0" w:line="240" w:lineRule="auto"/>
      </w:pPr>
      <w:r>
        <w:separator/>
      </w:r>
    </w:p>
  </w:endnote>
  <w:endnote w:type="continuationSeparator" w:id="0">
    <w:p w14:paraId="068EFAAC" w14:textId="77777777" w:rsidR="00593922" w:rsidRDefault="00593922"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433FA" w14:textId="77777777" w:rsidR="00593922" w:rsidRDefault="00593922" w:rsidP="0039565B">
      <w:pPr>
        <w:spacing w:after="0" w:line="240" w:lineRule="auto"/>
      </w:pPr>
      <w:r>
        <w:separator/>
      </w:r>
    </w:p>
  </w:footnote>
  <w:footnote w:type="continuationSeparator" w:id="0">
    <w:p w14:paraId="3A09FDCC" w14:textId="77777777" w:rsidR="00593922" w:rsidRDefault="00593922"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29639D"/>
    <w:rsid w:val="00326F90"/>
    <w:rsid w:val="0039565B"/>
    <w:rsid w:val="003F4541"/>
    <w:rsid w:val="00593922"/>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10</Pages>
  <Words>4362</Words>
  <Characters>24867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2</cp:revision>
  <dcterms:created xsi:type="dcterms:W3CDTF">2013-12-23T23:15:00Z</dcterms:created>
  <dcterms:modified xsi:type="dcterms:W3CDTF">2026-07-11T15:11:00Z</dcterms:modified>
  <cp:category/>
</cp:coreProperties>
</file>