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`methodology_ieee_v2.28_physical_deployment.md`. This version updates the physical deployment result, restores five-figure numbering, and performs a first abbreviation and cross-reference pass.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patient interacts with an unpowered magnetic microrobot on a tabletop workspace, while a robotic arm drives the microrobot indirectly through a permanent magnet placed below the surface. This layout preserves an active pursuit task for the patient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patient.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patient-side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formulate the rehabilitation task as a pursuit-evasion interaction on a flat workspace. The patient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patient's hand. The task therefore requires sustained visuomotor coordination rather than isolated point-to-point reaching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patient remains engaged without becoming fatigued or frustrated. Patient speed, pursuit strategy, response delay, and motor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tremor, delayed response, or bradykinesia, since purposeful movement and involuntary perturbation are not explicitly separated. These limitations motivate an RL formulation in which the controller optimizes a long-horizon ZPD objective under variable patient behavior rather than reacting only to the current hand-microrobot distance. In our formulation, the robot learns an evasion policy that is rewarded for keeping the interaction within the therapeutic range and penalized for unsafe or uninformative behavior, such as escaping too far or being caught too easily. The key challenge is to learn this policy without assuming a fixed or fully observable patient response model.</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patient behavior changes in both strategy and motor execution. Our approach treats this variability as a simulation problem, an observation problem, and a training-distribution problem. Cognitive-Motor Decoupled Domain Randomization (CMD-DR) broadens the simulated patient distribution by separating movement intent from biomechanical constraints. A dual-stream encoder makes patient motion history available to the policy, while an auxiliary future-dynamics head adds a direct learning signal for short-horizon hand-motion prediction. Iterative league training exposes the robot to a growing pool of hand policies so that the learned controller does not depend on one fixed virtual patient.</w:t>
      </w:r>
    </w:p>
    <w:p>
      <w:pPr>
        <w:pStyle w:val="Heading2"/>
      </w:pPr>
      <w:r>
        <w:t>A. Cognitive-Motor Decoupled Domain Randomization</w:t>
      </w:r>
    </w:p>
    <w:p>
      <w:pPr>
        <w:ind w:firstLine="288"/>
        <w:jc w:val="both"/>
      </w:pPr>
      <w:r>
        <w:rPr>
          <w:rFonts w:ascii="Times New Roman" w:hAnsi="Times New Roman" w:eastAsia="Times New Roman"/>
          <w:b w:val="0"/>
          <w:sz w:val="20"/>
        </w:rPr>
        <w:t>In rehabilitation settings, patients can differ both in how they choose to move and in how accurately they can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(1).</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r>
            <m:t xml:space="preserve">[</m:t>
          </m:r>
          <m:sSub>
            <m:e>
              <m:r>
                <m:t xml:space="preserve">z</m:t>
              </m:r>
            </m:e>
            <m:sub>
              <m:r>
                <m:t xml:space="preserve">t</m:t>
              </m:r>
            </m:sub>
          </m:sSub>
          <m:r>
            <m:t xml:space="preserve"> </m:t>
          </m:r>
          <m:sSub>
            <m:e>
              <m:r>
                <m:t xml:space="preserve">ξ̂</m:t>
              </m:r>
            </m:e>
            <m:sub>
              <m:r>
                <m:t xml:space="preserve">t</m:t>
              </m:r>
            </m:sub>
          </m:sSub>
          <m:r>
            <m:t xml:space="preserve"> + (1−</m:t>
          </m:r>
          <m:sSub>
            <m:e>
              <m:r>
                <m:t xml:space="preserve">z</m:t>
              </m:r>
            </m:e>
            <m:sub>
              <m:r>
                <m:t xml:space="preserve">t</m:t>
              </m:r>
            </m:sub>
          </m:sSub>
          <m:r>
            <m:t xml:space="preserve">)</m:t>
          </m:r>
          <m:f>
            <m:fPr>
              <m:type m:val="bar"/>
            </m:fPr>
            <m:num>
              <m:r>
                <m:t xml:space="preserve"> − </m:t>
              </m:r>
            </m:num>
            <m:den>
              <m:r>
                <m:t xml:space="preserve">‖</m:t>
              </m:r>
              <m:sSub>
                <m:e>
                  <m:r>
                    <m:t xml:space="preserve">p</m:t>
                  </m:r>
                </m:e>
                <m:sub>
                  <m:r>
                    <m:t xml:space="preserve">R,t</m:t>
                  </m:r>
                </m:sub>
              </m:sSub>
              <m:r>
                <m:t xml:space="preserve"> − </m:t>
              </m:r>
              <m:sSub>
                <m:e>
                  <m:r>
                    <m:t xml:space="preserve">p</m:t>
                  </m:r>
                </m:e>
                <m:sub>
                  <m:r>
                    <m:t xml:space="preserve">H,t</m:t>
                  </m:r>
                </m:sub>
              </m:sSub>
              <m:r>
                <m:t xml:space="preserve">‖₂</m:t>
              </m:r>
            </m:den>
          </m:f>
          <m:r>
            <m:t xml:space="preserve">],  </m:t>
          </m:r>
          <m:sSub>
            <m:e>
              <m:r>
                <m:t xml:space="preserve">z</m:t>
              </m:r>
            </m:e>
            <m:sub>
              <m:r>
                <m:t xml:space="preserve">t</m:t>
              </m:r>
            </m:sub>
          </m:sSub>
          <m:r>
            <m:t xml:space="preserve"> ~ Bernoulli(ε)</m:t>
          </m:r>
          <m:r>
            <m:t xml:space="preserve">    (1)</m:t>
          </m:r>
        </m:oMath>
      </m:oMathPara>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(1)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muscle inertia, as shown in (2).</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α ∈ (0,1)</m:t>
          </m:r>
          <m:r>
            <m:t xml:space="preserve">    (2)</m:t>
          </m:r>
        </m:oMath>
      </m:oMathPara>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(3).</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(3)</m:t>
          </m:r>
        </m:oMath>
      </m:oMathPara>
    </w:p>
    <w:p>
      <w:pPr>
        <w:ind w:firstLine="288"/>
        <w:jc w:val="both"/>
      </w:pPr>
      <w:r>
        <w:rPr>
          <w:rFonts w:ascii="Times New Roman" w:hAnsi="Times New Roman" w:eastAsia="Times New Roman"/>
          <w:b w:val="0"/>
          <w:sz w:val="20"/>
        </w:rPr>
        <w:t>Gaussian observation noise simulates position-estimation errors from the vision system. A sampled temporal delay models delayed motor response by executing a displacement generated several frames earlier. Table I lists the values and sampled ranges used for these constraints. Through this decoupled design, the robot policy is exposed to diverse patient-like behaviors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Muscle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tremor-like perturbations,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(4).</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(4)</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(5).</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(5)</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and estimates near-catch risk. Because future displacements and near-catch labels are available from the rollout, these auxiliary targets require no additional annotation.</w:t>
      </w:r>
    </w:p>
    <w:p>
      <w:pPr>
        <w:ind w:firstLine="288"/>
        <w:jc w:val="both"/>
      </w:pPr>
      <w:r>
        <w:rPr>
          <w:rFonts w:ascii="Times New Roman" w:hAnsi="Times New Roman" w:eastAsia="Times New Roman"/>
          <w:b w:val="0"/>
          <w:sz w:val="20"/>
        </w:rPr>
        <w:t>The trajectory prediction loss is given in (6).</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(6)</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risk prediction loss L_risk supervises the near-catch estimate. The full training objective combines the Proximal Policy Optimization (PPO) loss with the auxiliary trajectory and risk-prediction losses in (7).</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 </m:t>
          </m:r>
          <m:sSub>
            <m:e>
              <m:r>
                <m:t xml:space="preserve">λ</m:t>
              </m:r>
            </m:e>
            <m:sub>
              <m:r>
                <m:t xml:space="preserve">risk</m:t>
              </m:r>
            </m:sub>
          </m:sSub>
          <m:sSub>
            <m:e>
              <m:r>
                <m:t xml:space="preserve">L</m:t>
              </m:r>
            </m:e>
            <m:sub>
              <m:r>
                <m:t xml:space="preserve">risk</m:t>
              </m:r>
            </m:sub>
          </m:sSub>
          <m:r>
            <m:t xml:space="preserve">    (7)</m:t>
          </m:r>
        </m:oMath>
      </m:oMathPara>
    </w:p>
    <w:p>
      <w:pPr>
        <w:ind w:firstLine="288"/>
        <w:jc w:val="both"/>
      </w:pPr>
      <w:r>
        <w:rPr>
          <w:rFonts w:ascii="Times New Roman" w:hAnsi="Times New Roman" w:eastAsia="Times New Roman"/>
          <w:b w:val="0"/>
          <w:sz w:val="20"/>
        </w:rPr>
        <w:t>where lambda_traj and lambda_risk control the auxiliary loss weights.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rehabilitation objective also differs from that of a purely competitive game. The robot should not simply learn to defeat the hand. It should maintain an appropriate level of challenge for patients with different movement abilities.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(8).</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p>
    <w:p>
      <w:pPr>
        <w:pStyle w:val="DisplayEquation"/>
        <w:spacing w:before="60" w:after="60"/>
        <w:jc w:val="center"/>
      </w:pP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p>
    <w:p>
      <w:pPr>
        <w:pStyle w:val="DisplayEquation"/>
        <w:spacing w:before="60" w:after="60"/>
        <w:jc w:val="center"/>
      </w:pP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(8)</m:t>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(9).</w:t>
      </w:r>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(9)</m:t>
          </m:r>
        </m:oMath>
      </m:oMathPara>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patient-history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patient-behavior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(TIS)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TIS, worst-hand TIS, and Conditional Value-at-Risk over the worst 20% of hand policies (CVaR20) of TIS.</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particularly important for rehabilitation. Mean TIS improves across generations, but worst-hand TIS and CVaR20 also improve. A controller that raises only the average score could still fail for patients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therapeutic value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The mouse-controlled condition introduces human reaction time and voluntary pursuit strategy, so it is interpreted as a human-in-the-loop stress test rather than another automated opponent.</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TIS</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Episode 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against the SPC but is caught frequently by the learned and mouse-controlled hands, indicating that rule-based pursuit during training does not cover strategic or human-controlled pursuit behavior. The single-hand robot shows the reverse failure. It performs well against the learned hand policy but degrades sharply against the SPC and mouse-controlled hands.</w:t>
      </w:r>
    </w:p>
    <w:p>
      <w:pPr>
        <w:ind w:firstLine="288"/>
        <w:jc w:val="both"/>
      </w:pPr>
      <w:r>
        <w:rPr>
          <w:rFonts w:ascii="Times New Roman" w:hAnsi="Times New Roman" w:eastAsia="Times New Roman"/>
          <w:b w:val="0"/>
          <w:sz w:val="20"/>
        </w:rPr>
        <w:t>The league-trained robot is not the best on every scalar metric, but it avoids the severe cross-condition collapse seen in the baselines. Its strongest relative advantage appears under mouse-controlled pursuit, where it produces longer interactions with higher TIS and ZPD coverage while reducing the catch rate from near saturation to 60%. For adaptive rehabilitation, this balanced performance is more important than optimizing a single test condition, because patient behavior can shift across controllers, sessions, and voluntary strategies. The mouse-controlled result remains a stress test rather than a clinical validation, but it provides additional human-in-the-loop evidence that the league policy is more robust to hand behavior outside a single scripted or learned controller.</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The main performance gain appears when temporal interaction history is introduced, as shown in Fig. 4. Both recurrent policies learn longer and more rewarding interactions than the MLP baseline, indicating that the robot benefits from observing how the hand has been moving. In this run, the GRU policy without auxiliary supervision and the auxiliary GRU policy follow similar aggregate learning trends, so temporal sequence modeling is the dominant contributor to control performance.</w:t>
      </w:r>
    </w:p>
    <w:p>
      <w:pPr>
        <w:ind w:firstLine="288"/>
        <w:jc w:val="both"/>
      </w:pPr>
      <w:r>
        <w:rPr>
          <w:rFonts w:ascii="Times New Roman" w:hAnsi="Times New Roman" w:eastAsia="Times New Roman"/>
          <w:b w:val="0"/>
          <w:sz w:val="20"/>
        </w:rPr>
        <w:t>The auxiliary prediction examples provide a complementary diagnostic of the learned temporal representation. The future-dynamics head captures short-horizon movement direction and diverges gradually at longer horizons, consistent with the uncertainty of multi-step prediction in an interactive task. In this experiment, the auxiliary task encourages the recurrent encoder to represent patient-motion structure and makes that representation inspectable through prediction examples.</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Panels (c) and (d) visualize representative auxiliary future-prediction examples and horizon-dependent trajectory error.</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During the deployment trial, a healthy pilot pursued the microrobot on the acrylic workspace, while the UR10 drove the magnetic actuator below the surface. The policy was transferred without physical fine-tuning. At each control step, the observation was constructed from calibrated camera measurements and UR10 state feedback, preserving the same observation categories used in simulation, including hand position, microrobot position, robot state, workspace-boundary features, previous action, and recent displacement history.</w:t>
      </w:r>
    </w:p>
    <w:p>
      <w:pPr>
        <w:ind w:firstLine="288"/>
        <w:jc w:val="both"/>
      </w:pPr>
      <w:r>
        <w:rPr>
          <w:rFonts w:ascii="Times New Roman" w:hAnsi="Times New Roman" w:eastAsia="Times New Roman"/>
          <w:b w:val="0"/>
          <w:sz w:val="20"/>
        </w:rPr>
        <w:t>Fig. 5 presents a representative zero-shot physical rollout.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