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`methodology_ieee_v2.28_physical_deployment.md`. This version updates the physical deployment result, restores five-figure numbering, and performs a first abbreviation and cross-reference pass.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patient interacts with an unpowered magnetic microrobot on a tabletop workspace, while a robotic arm drives the microrobot indirectly through a permanent magnet placed below the surface. This layout preserves an active pursuit task for the patient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patient.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interface reduces risks associated with direct-contact devices, including impact, excessive traction, and local compression. The hardware also requires only a collaborative robot, a camera, and a permanent magnet. It does not rely on wearable components, force sensors, onboard batteries, or custom actuators. Passive magnetic actuation keeps the patient-side device lightweight and unpowered, which simplifies setup and limits the consequences of controller errors during development.</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formulate the rehabilitation task as a pursuit-evasion interaction on a flat workspace. The patient sits in front of the acrylic surface and uses one hand to chase the magnetic microrobot, which is controlled by the robot arm below. The task goal is to bring the hand within a small contact radius of the microrobot. Unlike static reaching exercises, the microrobot actively evades the patient's hand. The task therefore requires sustained visuomotor coordination rather than isolated point-to-point reaching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patient remains engaged without becoming fatigued or frustrated. Patient speed, pursuit strategy, response delay, and motor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tremor, delayed response, or bradykinesia, since purposeful movement and involuntary perturbation are not explicitly separated. These limitations motivate an RL formulation in which the controller optimizes a long-horizon ZPD objective under variable patient behavior rather than reacting only to the current hand-microrobot distance. In our formulation, the robot learns an evasion policy that is rewarded for keeping the interaction within the therapeutic range and penalized for unsafe or uninformative behavior, such as escaping too far or being caught too easily. The key challenge is to learn this policy without assuming a fixed or fully observable patient response model.</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patient behavior changes in both strategy and motor execution. Our approach treats this variability as a simulation problem, an observation problem, and a training-distribution problem. Cognitive-Motor Decoupled Domain Randomization (CMD-DR) broadens the simulated patient distribution by separating movement intent from biomechanical constraints. A dual-stream encoder makes patient motion history available to the policy, while an auxiliary future-dynamics head adds a direct learning signal for short-horizon hand-motion prediction. Iterative league training exposes the robot to a growing pool of hand policies so that the learned controller does not depend on one fixed virtual patient.</w:t>
      </w:r>
    </w:p>
    <w:p>
      <w:pPr>
        <w:pStyle w:val="Heading2"/>
      </w:pPr>
      <w:r>
        <w:t>A. Cognitive-Motor Decoupled Domain Randomization</w:t>
      </w:r>
    </w:p>
    <w:p>
      <w:pPr>
        <w:ind w:firstLine="288"/>
        <w:jc w:val="both"/>
      </w:pPr>
      <w:r>
        <w:rPr>
          <w:rFonts w:ascii="Times New Roman" w:hAnsi="Times New Roman" w:eastAsia="Times New Roman"/>
          <w:b w:val="0"/>
          <w:sz w:val="20"/>
        </w:rPr>
        <w:t>In rehabilitation settings, patients can differ both in how they choose to move and in how accurately they can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either moves toward the microrobot or makes a small random exploratory move. Its intended displacement is defined in (1), where the pursuit direction points from the current hand position toward the current microrobot position.</w:t>
      </w:r>
    </w:p>
    <w:p>
      <w:pPr>
        <w:pStyle w:val="DisplayEquation"/>
        <w:spacing w:before="60" w:after="60"/>
        <w:jc w:val="center"/>
      </w:pPr>
      <m:oMathPara>
        <m:oMath>
          <m:sSub>
            <m:e>
              <m:r>
                <m:t xml:space="preserve">ê</m:t>
              </m:r>
            </m:e>
            <m:sub>
              <m:r>
                <m:t xml:space="preserve">t</m:t>
              </m:r>
            </m:sub>
          </m:sSub>
          <m:r>
            <m:t xml:space="preserve"> = </m:t>
          </m:r>
          <m:f>
            <m:fPr>
              <m:type m:val="bar"/>
            </m:fPr>
            <m:num>
              <m:sSub>
                <m:e>
                  <m:r>
                    <m:t xml:space="preserve">p</m:t>
                  </m:r>
                </m:e>
                <m:sub>
                  <m:r>
                    <m:t xml:space="preserve">R,t</m:t>
                  </m:r>
                </m:sub>
              </m:sSub>
              <m:r>
                <m:t xml:space="preserve"> − </m:t>
              </m:r>
              <m:sSub>
                <m:e>
                  <m:r>
                    <m:t xml:space="preserve">p</m:t>
                  </m:r>
                </m:e>
                <m:sub>
                  <m:r>
                    <m:t xml:space="preserve">H,t</m:t>
                  </m:r>
                </m:sub>
              </m:sSub>
            </m:num>
            <m:den>
              <m:r>
                <m:t xml:space="preserve">‖</m:t>
              </m:r>
              <m:sSub>
                <m:e>
                  <m:r>
                    <m:t xml:space="preserve">p</m:t>
                  </m:r>
                </m:e>
                <m:sub>
                  <m:r>
                    <m:t xml:space="preserve">R,t</m:t>
                  </m:r>
                </m:sub>
              </m:sSub>
              <m:r>
                <m:t xml:space="preserve"> − </m:t>
              </m:r>
              <m:sSub>
                <m:e>
                  <m:r>
                    <m:t xml:space="preserve">p</m:t>
                  </m:r>
                </m:e>
                <m:sub>
                  <m:r>
                    <m:t xml:space="preserve">H,t</m:t>
                  </m:r>
                </m:sub>
              </m:sSub>
              <m:r>
                <m:t xml:space="preserve">‖₂</m:t>
              </m:r>
            </m:den>
          </m:f>
        </m:oMath>
      </m:oMathPara>
      <w:r>
        <w:br/>
      </w:r>
      <m:oMathPara>
        <m:oMath>
          <m:sSubSup>
            <m:e>
              <m:r>
                <m:t xml:space="preserve">u</m:t>
              </m:r>
            </m:e>
            <m:sub>
              <m:r>
                <m:t xml:space="preserve">t</m:t>
              </m:r>
            </m:sub>
            <m:sup>
              <m:r>
                <m:t xml:space="preserve">SPC</m:t>
              </m:r>
            </m:sup>
          </m:sSubSup>
          <m:r>
            <m:t xml:space="preserve"> = </m:t>
          </m:r>
          <m:sSub>
            <m:e>
              <m:r>
                <m:t xml:space="preserve">ρ</m:t>
              </m:r>
            </m:e>
            <m:sub>
              <m:r>
                <m:t xml:space="preserve">ep</m:t>
              </m:r>
            </m:sub>
          </m:sSub>
          <m:r>
            <m:t xml:space="preserve">[</m:t>
          </m:r>
          <m:sSub>
            <m:e>
              <m:r>
                <m:t xml:space="preserve">z</m:t>
              </m:r>
            </m:e>
            <m:sub>
              <m:r>
                <m:t xml:space="preserve">t</m:t>
              </m:r>
            </m:sub>
          </m:sSub>
          <m:r>
            <m:t xml:space="preserve"> </m:t>
          </m:r>
          <m:sSub>
            <m:e>
              <m:r>
                <m:t xml:space="preserve">ξ̂</m:t>
              </m:r>
            </m:e>
            <m:sub>
              <m:r>
                <m:t xml:space="preserve">t</m:t>
              </m:r>
            </m:sub>
          </m:sSub>
          <m:r>
            <m:t xml:space="preserve"> + (1−</m:t>
          </m:r>
          <m:sSub>
            <m:e>
              <m:r>
                <m:t xml:space="preserve">z</m:t>
              </m:r>
            </m:e>
            <m:sub>
              <m:r>
                <m:t xml:space="preserve">t</m:t>
              </m:r>
            </m:sub>
          </m:sSub>
          <m:r>
            <m:t xml:space="preserve">)</m:t>
          </m:r>
          <m:sSub>
            <m:e>
              <m:r>
                <m:t xml:space="preserve">ê</m:t>
              </m:r>
            </m:e>
            <m:sub>
              <m:r>
                <m:t xml:space="preserve">t</m:t>
              </m:r>
            </m:sub>
          </m:sSub>
          <m:r>
            <m:t xml:space="preserve">],  </m:t>
          </m:r>
          <m:sSub>
            <m:e>
              <m:r>
                <m:t xml:space="preserve">z</m:t>
              </m:r>
            </m:e>
            <m:sub>
              <m:r>
                <m:t xml:space="preserve">t</m:t>
              </m:r>
            </m:sub>
          </m:sSub>
          <m:r>
            <m:t xml:space="preserve"> ~ Bernoulli(ε)</m:t>
          </m:r>
          <m:r>
            <m:t xml:space="preserve">    (1)</m:t>
          </m:r>
        </m:oMath>
      </m:oMathPara>
    </w:p>
    <w:p>
      <w:pPr>
        <w:ind w:firstLine="288"/>
        <w:jc w:val="both"/>
      </w:pPr>
      <w:r>
        <w:rPr>
          <w:rFonts w:ascii="Times New Roman" w:hAnsi="Times New Roman" w:eastAsia="Times New Roman"/>
          <w:b w:val="0"/>
          <w:sz w:val="20"/>
        </w:rPr>
        <w:t>Here, p_R,t and p_H,t are the microrobot and hand positions, xi_hat_t is a normalized random direction, rho_ep is sampled from U(0.45, 0.70), and epsilon = 0.05. The learned hand policies replace (1)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muscle inertia, as shown in (2).</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(2)</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(3).</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(3)</m:t>
          </m:r>
        </m:oMath>
      </m:oMathPara>
    </w:p>
    <w:p>
      <w:pPr>
        <w:ind w:firstLine="288"/>
        <w:jc w:val="both"/>
      </w:pPr>
      <w:r>
        <w:rPr>
          <w:rFonts w:ascii="Times New Roman" w:hAnsi="Times New Roman" w:eastAsia="Times New Roman"/>
          <w:b w:val="0"/>
          <w:sz w:val="20"/>
        </w:rPr>
        <w:t>Gaussian observation noise simulates position-estimation errors from the vision system. A sampled temporal delay models delayed motor response by executing a displacement generated several frames earlier. The delay buffer advances at 8 Hz in the motor-execution layer, so the 0--3 frame range in Table I corresponds to 0--375 ms. Table I lists the values and sampled ranges used for these constraints. Through this decoupled design, the robot policy is exposed to diverse patient-like behaviors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Muscle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U(0.01, 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tremor-like perturbations,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(4).</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(4)</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(5).</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(5)</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target requires no additional annotation.</w:t>
      </w:r>
    </w:p>
    <w:p>
      <w:pPr>
        <w:ind w:firstLine="288"/>
        <w:jc w:val="both"/>
      </w:pPr>
      <w:r>
        <w:rPr>
          <w:rFonts w:ascii="Times New Roman" w:hAnsi="Times New Roman" w:eastAsia="Times New Roman"/>
          <w:b w:val="0"/>
          <w:sz w:val="20"/>
        </w:rPr>
        <w:t>The trajectory prediction loss is given in (6).</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(6)</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Proximal Policy Optimization (PPO) loss with the auxiliary trajectory-prediction loss in (7).</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(7)</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rehabilitation objective also differs from that of a purely competitive game. The robot should not simply learn to defeat the hand. It should maintain an appropriate level of challenge for patients with different movement abilities.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(8).</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p>
    <w:p>
      <w:pPr>
        <w:pStyle w:val="DisplayEquation"/>
        <w:spacing w:before="60" w:after="60"/>
        <w:jc w:val="center"/>
      </w:pP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p>
    <w:p>
      <w:pPr>
        <w:pStyle w:val="DisplayEquation"/>
        <w:spacing w:before="60" w:after="60"/>
        <w:jc w:val="center"/>
      </w:pP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(8)</m:t>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(9).</w:t>
      </w:r>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(9)</m:t>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patient-history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patient-behavior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particularly important for rehabilitation. Mean TIZ improves across generations, but worst-hand TIZ and CVaR20 also improve. A controller that raises only the average score could still fail for patients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therapeutic value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as summarized in Table II. The mouse-controlled condition introduces human reaction time and voluntary pursuit strategy, so it is interpreted as a human-in-the-loop stress test rather than another automated opponent.</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EDEDED"/>
          </w:tcPr>
          <w:p>
            <w:pPr>
              <w:jc w:val="center"/>
            </w:pPr>
            <w:r>
              <w:rPr>
                <w:rFonts w:ascii="Times New Roman" w:hAnsi="Times New Roman" w:eastAsia="Times New Roman"/>
                <w:b/>
                <w:sz w:val="17"/>
              </w:rPr>
              <w:t>Robot policy</w:t>
            </w:r>
          </w:p>
        </w:tc>
        <w:tc>
          <w:tcPr>
            <w:tcW w:type="dxa" w:w="1461"/>
            <w:vAlign w:val="center"/>
            <w:shd w:fill="EDEDED"/>
          </w:tcPr>
          <w:p>
            <w:pPr>
              <w:jc w:val="center"/>
            </w:pPr>
            <w:r>
              <w:rPr>
                <w:rFonts w:ascii="Times New Roman" w:hAnsi="Times New Roman" w:eastAsia="Times New Roman"/>
                <w:b/>
                <w:sz w:val="17"/>
              </w:rPr>
              <w:t>SPC TIZ</w:t>
            </w:r>
          </w:p>
        </w:tc>
        <w:tc>
          <w:tcPr>
            <w:tcW w:type="dxa" w:w="1461"/>
            <w:vAlign w:val="center"/>
            <w:shd w:fill="EDEDED"/>
          </w:tcPr>
          <w:p>
            <w:pPr>
              <w:jc w:val="center"/>
            </w:pPr>
            <w:r>
              <w:rPr>
                <w:rFonts w:ascii="Times New Roman" w:hAnsi="Times New Roman" w:eastAsia="Times New Roman"/>
                <w:b/>
                <w:sz w:val="17"/>
              </w:rPr>
              <w:t>SPC length</w:t>
            </w:r>
          </w:p>
        </w:tc>
        <w:tc>
          <w:tcPr>
            <w:tcW w:type="dxa" w:w="1461"/>
            <w:vAlign w:val="center"/>
            <w:shd w:fill="EDEDED"/>
          </w:tcPr>
          <w:p>
            <w:pPr>
              <w:jc w:val="center"/>
            </w:pPr>
            <w:r>
              <w:rPr>
                <w:rFonts w:ascii="Times New Roman" w:hAnsi="Times New Roman" w:eastAsia="Times New Roman"/>
                <w:b/>
                <w:sz w:val="17"/>
              </w:rPr>
              <w:t>Learned-hand TIZ</w:t>
            </w:r>
          </w:p>
        </w:tc>
        <w:tc>
          <w:tcPr>
            <w:tcW w:type="dxa" w:w="1461"/>
            <w:vAlign w:val="center"/>
            <w:shd w:fill="EDEDED"/>
          </w:tcPr>
          <w:p>
            <w:pPr>
              <w:jc w:val="center"/>
            </w:pPr>
            <w:r>
              <w:rPr>
                <w:rFonts w:ascii="Times New Roman" w:hAnsi="Times New Roman" w:eastAsia="Times New Roman"/>
                <w:b/>
                <w:sz w:val="17"/>
              </w:rPr>
              <w:t>Learned-hand length</w:t>
            </w:r>
          </w:p>
        </w:tc>
        <w:tc>
          <w:tcPr>
            <w:tcW w:type="dxa" w:w="1461"/>
            <w:vAlign w:val="center"/>
            <w:shd w:fill="EDEDED"/>
          </w:tcPr>
          <w:p>
            <w:pPr>
              <w:jc w:val="center"/>
            </w:pPr>
            <w:r>
              <w:rPr>
                <w:rFonts w:ascii="Times New Roman" w:hAnsi="Times New Roman" w:eastAsia="Times New Roman"/>
                <w:b/>
                <w:sz w:val="17"/>
              </w:rPr>
              <w:t>Mouse-hand TIZ</w:t>
            </w:r>
          </w:p>
        </w:tc>
        <w:tc>
          <w:tcPr>
            <w:tcW w:type="dxa" w:w="1461"/>
            <w:vAlign w:val="center"/>
            <w:shd w:fill="EDEDED"/>
          </w:tcPr>
          <w:p>
            <w:pPr>
              <w:jc w:val="center"/>
            </w:pPr>
            <w:r>
              <w:rPr>
                <w:rFonts w:ascii="Times New Roman" w:hAnsi="Times New Roman" w:eastAsia="Times New Roman"/>
                <w:b/>
                <w:sz w:val="17"/>
              </w:rPr>
              <w:t>Mouse-hand length</w:t>
            </w:r>
          </w:p>
        </w:tc>
      </w:tr>
      <w:tr>
        <w:tc>
          <w:tcPr>
            <w:tcW w:type="dxa" w:w="1461"/>
            <w:vAlign w:val="center"/>
          </w:tcPr>
          <w:p>
            <w:pPr>
              <w:jc w:val="center"/>
            </w:pPr>
            <w:r>
              <w:rPr>
                <w:rFonts w:ascii="Times New Roman" w:hAnsi="Times New Roman" w:eastAsia="Times New Roman"/>
                <w:b w:val="0"/>
                <w:sz w:val="17"/>
              </w:rPr>
              <w:t>SPC-only</w:t>
            </w:r>
          </w:p>
        </w:tc>
        <w:tc>
          <w:tcPr>
            <w:tcW w:type="dxa" w:w="1461"/>
            <w:vAlign w:val="center"/>
          </w:tcPr>
          <w:p>
            <w:pPr>
              <w:jc w:val="center"/>
            </w:pPr>
            <w:r>
              <w:rPr>
                <w:rFonts w:ascii="Times New Roman" w:hAnsi="Times New Roman" w:eastAsia="Times New Roman"/>
                <w:b w:val="0"/>
                <w:sz w:val="17"/>
              </w:rPr>
              <w:t>0.31</w:t>
            </w:r>
          </w:p>
        </w:tc>
        <w:tc>
          <w:tcPr>
            <w:tcW w:type="dxa" w:w="1461"/>
            <w:vAlign w:val="center"/>
          </w:tcPr>
          <w:p>
            <w:pPr>
              <w:jc w:val="center"/>
            </w:pPr>
            <w:r>
              <w:rPr>
                <w:rFonts w:ascii="Times New Roman" w:hAnsi="Times New Roman" w:eastAsia="Times New Roman"/>
                <w:b w:val="0"/>
                <w:sz w:val="17"/>
              </w:rPr>
              <w:t>52</w:t>
            </w:r>
          </w:p>
        </w:tc>
        <w:tc>
          <w:tcPr>
            <w:tcW w:type="dxa" w:w="1461"/>
            <w:vAlign w:val="center"/>
          </w:tcPr>
          <w:p>
            <w:pPr>
              <w:jc w:val="center"/>
            </w:pPr>
            <w:r>
              <w:rPr>
                <w:rFonts w:ascii="Times New Roman" w:hAnsi="Times New Roman" w:eastAsia="Times New Roman"/>
                <w:b w:val="0"/>
                <w:sz w:val="17"/>
              </w:rPr>
              <w:t>0.19</w:t>
            </w:r>
          </w:p>
        </w:tc>
        <w:tc>
          <w:tcPr>
            <w:tcW w:type="dxa" w:w="1461"/>
            <w:vAlign w:val="center"/>
          </w:tcPr>
          <w:p>
            <w:pPr>
              <w:jc w:val="center"/>
            </w:pPr>
            <w:r>
              <w:rPr>
                <w:rFonts w:ascii="Times New Roman" w:hAnsi="Times New Roman" w:eastAsia="Times New Roman"/>
                <w:b w:val="0"/>
                <w:sz w:val="17"/>
              </w:rPr>
              <w:t>31</w:t>
            </w:r>
          </w:p>
        </w:tc>
        <w:tc>
          <w:tcPr>
            <w:tcW w:type="dxa" w:w="1461"/>
            <w:vAlign w:val="center"/>
          </w:tcPr>
          <w:p>
            <w:pPr>
              <w:jc w:val="center"/>
            </w:pPr>
            <w:r>
              <w:rPr>
                <w:rFonts w:ascii="Times New Roman" w:hAnsi="Times New Roman" w:eastAsia="Times New Roman"/>
                <w:b w:val="0"/>
                <w:sz w:val="17"/>
              </w:rPr>
              <w:t>0.14</w:t>
            </w:r>
          </w:p>
        </w:tc>
        <w:tc>
          <w:tcPr>
            <w:tcW w:type="dxa" w:w="1461"/>
            <w:vAlign w:val="center"/>
          </w:tcPr>
          <w:p>
            <w:pPr>
              <w:jc w:val="center"/>
            </w:pPr>
            <w:r>
              <w:rPr>
                <w:rFonts w:ascii="Times New Roman" w:hAnsi="Times New Roman" w:eastAsia="Times New Roman"/>
                <w:b w:val="0"/>
                <w:sz w:val="17"/>
              </w:rPr>
              <w:t>33</w:t>
            </w:r>
          </w:p>
        </w:tc>
      </w:tr>
      <w:tr>
        <w:tc>
          <w:tcPr>
            <w:tcW w:type="dxa" w:w="1461"/>
            <w:vAlign w:val="center"/>
          </w:tcPr>
          <w:p>
            <w:pPr>
              <w:jc w:val="center"/>
            </w:pPr>
            <w:r>
              <w:rPr>
                <w:rFonts w:ascii="Times New Roman" w:hAnsi="Times New Roman" w:eastAsia="Times New Roman"/>
                <w:b w:val="0"/>
                <w:sz w:val="17"/>
              </w:rPr>
              <w:t>Single-hand</w:t>
            </w:r>
          </w:p>
        </w:tc>
        <w:tc>
          <w:tcPr>
            <w:tcW w:type="dxa" w:w="1461"/>
            <w:vAlign w:val="center"/>
          </w:tcPr>
          <w:p>
            <w:pPr>
              <w:jc w:val="center"/>
            </w:pPr>
            <w:r>
              <w:rPr>
                <w:rFonts w:ascii="Times New Roman" w:hAnsi="Times New Roman" w:eastAsia="Times New Roman"/>
                <w:b w:val="0"/>
                <w:sz w:val="17"/>
              </w:rPr>
              <w:t>0.11</w:t>
            </w:r>
          </w:p>
        </w:tc>
        <w:tc>
          <w:tcPr>
            <w:tcW w:type="dxa" w:w="1461"/>
            <w:vAlign w:val="center"/>
          </w:tcPr>
          <w:p>
            <w:pPr>
              <w:jc w:val="center"/>
            </w:pPr>
            <w:r>
              <w:rPr>
                <w:rFonts w:ascii="Times New Roman" w:hAnsi="Times New Roman" w:eastAsia="Times New Roman"/>
                <w:b w:val="0"/>
                <w:sz w:val="17"/>
              </w:rPr>
              <w:t>25</w:t>
            </w:r>
          </w:p>
        </w:tc>
        <w:tc>
          <w:tcPr>
            <w:tcW w:type="dxa" w:w="1461"/>
            <w:vAlign w:val="center"/>
          </w:tcPr>
          <w:p>
            <w:pPr>
              <w:jc w:val="center"/>
            </w:pPr>
            <w:r>
              <w:rPr>
                <w:rFonts w:ascii="Times New Roman" w:hAnsi="Times New Roman" w:eastAsia="Times New Roman"/>
                <w:b w:val="0"/>
                <w:sz w:val="17"/>
              </w:rPr>
              <w:t>0.49</w:t>
            </w:r>
          </w:p>
        </w:tc>
        <w:tc>
          <w:tcPr>
            <w:tcW w:type="dxa" w:w="1461"/>
            <w:vAlign w:val="center"/>
          </w:tcPr>
          <w:p>
            <w:pPr>
              <w:jc w:val="center"/>
            </w:pPr>
            <w:r>
              <w:rPr>
                <w:rFonts w:ascii="Times New Roman" w:hAnsi="Times New Roman" w:eastAsia="Times New Roman"/>
                <w:b w:val="0"/>
                <w:sz w:val="17"/>
              </w:rPr>
              <w:t>70</w:t>
            </w:r>
          </w:p>
        </w:tc>
        <w:tc>
          <w:tcPr>
            <w:tcW w:type="dxa" w:w="1461"/>
            <w:vAlign w:val="center"/>
          </w:tcPr>
          <w:p>
            <w:pPr>
              <w:jc w:val="center"/>
            </w:pPr>
            <w:r>
              <w:rPr>
                <w:rFonts w:ascii="Times New Roman" w:hAnsi="Times New Roman" w:eastAsia="Times New Roman"/>
                <w:b w:val="0"/>
                <w:sz w:val="17"/>
              </w:rPr>
              <w:t>0.19</w:t>
            </w:r>
          </w:p>
        </w:tc>
        <w:tc>
          <w:tcPr>
            <w:tcW w:type="dxa" w:w="1461"/>
            <w:vAlign w:val="center"/>
          </w:tcPr>
          <w:p>
            <w:pPr>
              <w:jc w:val="center"/>
            </w:pPr>
            <w:r>
              <w:rPr>
                <w:rFonts w:ascii="Times New Roman" w:hAnsi="Times New Roman" w:eastAsia="Times New Roman"/>
                <w:b w:val="0"/>
                <w:sz w:val="17"/>
              </w:rPr>
              <w:t>40</w:t>
            </w:r>
          </w:p>
        </w:tc>
      </w:tr>
      <w:tr>
        <w:tc>
          <w:tcPr>
            <w:tcW w:type="dxa" w:w="1461"/>
            <w:vAlign w:val="center"/>
          </w:tcPr>
          <w:p>
            <w:pPr>
              <w:jc w:val="center"/>
            </w:pPr>
            <w:r>
              <w:rPr>
                <w:rFonts w:ascii="Times New Roman" w:hAnsi="Times New Roman" w:eastAsia="Times New Roman"/>
                <w:b w:val="0"/>
                <w:sz w:val="17"/>
              </w:rPr>
              <w:t>League</w:t>
            </w:r>
          </w:p>
        </w:tc>
        <w:tc>
          <w:tcPr>
            <w:tcW w:type="dxa" w:w="1461"/>
            <w:vAlign w:val="center"/>
          </w:tcPr>
          <w:p>
            <w:pPr>
              <w:jc w:val="center"/>
            </w:pPr>
            <w:r>
              <w:rPr>
                <w:rFonts w:ascii="Times New Roman" w:hAnsi="Times New Roman" w:eastAsia="Times New Roman"/>
                <w:b w:val="0"/>
                <w:sz w:val="17"/>
              </w:rPr>
              <w:t>0.38</w:t>
            </w:r>
          </w:p>
        </w:tc>
        <w:tc>
          <w:tcPr>
            <w:tcW w:type="dxa" w:w="1461"/>
            <w:vAlign w:val="center"/>
          </w:tcPr>
          <w:p>
            <w:pPr>
              <w:jc w:val="center"/>
            </w:pPr>
            <w:r>
              <w:rPr>
                <w:rFonts w:ascii="Times New Roman" w:hAnsi="Times New Roman" w:eastAsia="Times New Roman"/>
                <w:b w:val="0"/>
                <w:sz w:val="17"/>
              </w:rPr>
              <w:t>67</w:t>
            </w:r>
          </w:p>
        </w:tc>
        <w:tc>
          <w:tcPr>
            <w:tcW w:type="dxa" w:w="1461"/>
            <w:vAlign w:val="center"/>
          </w:tcPr>
          <w:p>
            <w:pPr>
              <w:jc w:val="center"/>
            </w:pPr>
            <w:r>
              <w:rPr>
                <w:rFonts w:ascii="Times New Roman" w:hAnsi="Times New Roman" w:eastAsia="Times New Roman"/>
                <w:b w:val="0"/>
                <w:sz w:val="17"/>
              </w:rPr>
              <w:t>0.48</w:t>
            </w:r>
          </w:p>
        </w:tc>
        <w:tc>
          <w:tcPr>
            <w:tcW w:type="dxa" w:w="1461"/>
            <w:vAlign w:val="center"/>
          </w:tcPr>
          <w:p>
            <w:pPr>
              <w:jc w:val="center"/>
            </w:pPr>
            <w:r>
              <w:rPr>
                <w:rFonts w:ascii="Times New Roman" w:hAnsi="Times New Roman" w:eastAsia="Times New Roman"/>
                <w:b w:val="0"/>
                <w:sz w:val="17"/>
              </w:rPr>
              <w:t>64</w:t>
            </w:r>
          </w:p>
        </w:tc>
        <w:tc>
          <w:tcPr>
            <w:tcW w:type="dxa" w:w="1461"/>
            <w:vAlign w:val="center"/>
          </w:tcPr>
          <w:p>
            <w:pPr>
              <w:jc w:val="center"/>
            </w:pPr>
            <w:r>
              <w:rPr>
                <w:rFonts w:ascii="Times New Roman" w:hAnsi="Times New Roman" w:eastAsia="Times New Roman"/>
                <w:b w:val="0"/>
                <w:sz w:val="17"/>
              </w:rPr>
              <w:t>0.49</w:t>
            </w:r>
          </w:p>
        </w:tc>
        <w:tc>
          <w:tcPr>
            <w:tcW w:type="dxa" w:w="1461"/>
            <w:vAlign w:val="center"/>
          </w:tcPr>
          <w:p>
            <w:pPr>
              <w:jc w:val="center"/>
            </w:pPr>
            <w:r>
              <w:rPr>
                <w:rFonts w:ascii="Times New Roman" w:hAnsi="Times New Roman" w:eastAsia="Times New Roman"/>
                <w:b w:val="0"/>
                <w:sz w:val="17"/>
              </w:rPr>
              <w:t>74</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strongest on the scripted pursuit controller but produces short, low-TIZ interactions against the learned and mouse-controlled hands. The single-hand robot shows the opposite pattern. It performs well against the learned hand policy but degrades sharply against the SPC and mouse-controlled hands, indicating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mouse-controlled tests, while remaining comparable to the single-hand robot on the learned-hand test. The mouse-controlled result is especially informative because it introduces human reaction time and voluntary pursuit strategy. For adaptive rehabilitation, this balanced profile is more important than optimizing a single test condition, because patient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patient-motion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Fig. 4 shows that temporal interaction history improves the robot policy beyond the MLP baseline, and that auxiliary future-dynamics supervision further improves the final task-quality profile. In the training curves, both recurrent policies achieve longer and more stable interactions than the MLP policy, indicating that recent hand-motion history is useful for regulating difficulty. The auxiliary GRU follows a similar training trend to the GRU policy, but its final evaluation is stronger in the task-quality summary: it achieves higher TIZ, broader workspace coverage, and lower jerk relative to the MLP baseline.</w:t>
      </w:r>
    </w:p>
    <w:p>
      <w:pPr>
        <w:ind w:firstLine="288"/>
        <w:jc w:val="both"/>
      </w:pPr>
      <w:r>
        <w:rPr>
          <w:rFonts w:ascii="Times New Roman" w:hAnsi="Times New Roman" w:eastAsia="Times New Roman"/>
          <w:b w:val="0"/>
          <w:sz w:val="20"/>
        </w:rPr>
        <w:t>The auxiliary prediction examples provide a complementary diagnostic of why this improvement is plausible. The future-dynamics head learns to predict short-horizon hand displacement from the recurrent representation, so the temporal encoder is trained not only through sparse policy gradients but also through a supervised motion-prediction signal. This additional signal encourages the representation to encode pursuit direction, inertia, and short-term changes in hand motion. The result is not merely an interpretable auxiliary output; it also contributes to the final control behavior summarized in Fig. 4(d).</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During the deployment trial, a healthy pilot pursued the microrobot on the acrylic workspace, while the UR10 drove the magnetic actuator below the surface. The policy was transferred without physical fine-tuning. At each control step, the observation was constructed from calibrated camera measurements and UR10 state feedback, preserving the same observation categories used in simulation, including hand position, microrobot position, robot state, workspace-boundary features, previous action, and recent displacement history.</w:t>
      </w:r>
    </w:p>
    <w:p>
      <w:pPr>
        <w:ind w:firstLine="288"/>
        <w:jc w:val="both"/>
      </w:pPr>
      <w:r>
        <w:rPr>
          <w:rFonts w:ascii="Times New Roman" w:hAnsi="Times New Roman" w:eastAsia="Times New Roman"/>
          <w:b w:val="0"/>
          <w:sz w:val="20"/>
        </w:rPr>
        <w:t>Fig. 5 presents a representative zero-shot physical rollout.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