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`methodology_ieee_v2.29_stage_draft_physical_deployment.md`. This version adds the explicit robot reward objective, closes the CMD-DR hand-position update, restores the four-metric policy comparison table, strengthens physical-deployment engineering details, aligns the physical observation wording with the simulation observation, reduces unsupported clinical wording, and standardizes Time-In-Zone (TIZ) terminology.</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We formulate the control problem as a reinforcement learning (RL) task in which the robot regulates interaction difficulty through the motion of the magnetic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magnetic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interface reduces risks associated with direct-contact devices, including impact, excessive traction, and local compression. The hardware also requires only a collaborative robot, a camera, and a permanent magnet. It does not rely on wearable components, force sensors, onboard batteries, or custom actuators. Passive magnetic actuation keeps the user-side device lightweight and unpowered, which simplifies setup and limits the consequences of controller errors during development.</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formulate the rehabilitation task as a pursuit-evasion interaction on a flat workspace. The participant sits in front of the acrylic surface and uses one hand to chase the magnetic microrobot, which is controlled by the robot arm below. The task goal is to bring the hand within a small contact radius of the microrobot. Unlike static reaching exercises, the microrobot actively evades the hand. The task therefore requires sustained visuomotor coordination rather than isolated point-to-point reaching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defined from the hand-microrobot distance, workspace safety, and action smoothness. Let d_t be the Euclidean distance between the hand and microrobot, d_min = 3.5 and d_max = 5.5 be the ZPD bounds, d_0 = (d_min+d_max)/2, d_c be the catch threshold, Omega be the valid workspace, and j_t be the jerk penalty induced by abrupt changes in the robot action. The robot reward used by PPO is</w:t>
      </w:r>
    </w:p>
    <w:p>
      <w:pPr>
        <w:pStyle w:val="DisplayEquation"/>
        <w:spacing w:before="60" w:after="60"/>
        <w:jc w:val="center"/>
      </w:pPr>
      <m:oMathPara>
        <m:oMath>
          <m:sSub>
            <m:e>
              <m:r>
                <m:t xml:space="preserve">r</m:t>
              </m:r>
            </m:e>
            <m:sub>
              <m:r>
                <m:t xml:space="preserve">t</m:t>
              </m:r>
            </m:sub>
          </m:sSub>
          <m:r>
            <m:t xml:space="preserve"> = clip(</m:t>
          </m:r>
          <m:sSub>
            <m:e>
              <m:r>
                <m:t xml:space="preserve">r</m:t>
              </m:r>
            </m:e>
            <m:sub>
              <m:r>
                <m:t xml:space="preserve">ZPD</m:t>
              </m:r>
            </m:sub>
          </m:sSub>
          <m:r>
            <m:t xml:space="preserve">(</m:t>
          </m:r>
          <m:sSub>
            <m:e>
              <m:r>
                <m:t xml:space="preserve">d</m:t>
              </m:r>
            </m:e>
            <m:sub>
              <m:r>
                <m:t xml:space="preserve">t</m:t>
              </m:r>
            </m:sub>
          </m:sSub>
          <m:r>
            <m:t xml:space="preserve">), −1, 1) + 0.2 − 40 I[</m:t>
          </m:r>
          <m:sSub>
            <m:e>
              <m:r>
                <m:t xml:space="preserve">d</m:t>
              </m:r>
            </m:e>
            <m:sub>
              <m:r>
                <m:t xml:space="preserve">t</m:t>
              </m:r>
            </m:sub>
          </m:sSub>
          <m:r>
            <m:t xml:space="preserve">&lt;</m:t>
          </m:r>
          <m:sSub>
            <m:e>
              <m:r>
                <m:t xml:space="preserve">d</m:t>
              </m:r>
            </m:e>
            <m:sub>
              <m:r>
                <m:t xml:space="preserve">c</m:t>
              </m:r>
            </m:sub>
          </m:sSub>
          <m:r>
            <m:t xml:space="preserve">] − 80 I[</m:t>
          </m:r>
          <m:sSub>
            <m:e>
              <m:r>
                <m:t xml:space="preserve">p</m:t>
              </m:r>
            </m:e>
            <m:sub>
              <m:r>
                <m:t xml:space="preserve">R,t</m:t>
              </m:r>
            </m:sub>
          </m:sSub>
          <m:r>
            <m:t xml:space="preserve">∉Ω] − 2</m:t>
          </m:r>
          <m:sSub>
            <m:e>
              <m:r>
                <m:t xml:space="preserve">j</m:t>
              </m:r>
            </m:e>
            <m:sub>
              <m:r>
                <m:t xml:space="preserve">t</m:t>
              </m:r>
            </m:sub>
          </m:sSub>
          <m:r>
            <m:t xml:space="preserve">    (1)</m:t>
          </m:r>
        </m:oMath>
      </m:oMathPara>
      <w:r>
        <w:br/>
      </w:r>
      <m:oMathPara>
        <m:oMath>
          <m:sSub>
            <m:e>
              <m:r>
                <m:t xml:space="preserve">r</m:t>
              </m:r>
            </m:e>
            <m:sub>
              <m:r>
                <m:t xml:space="preserve">ZPD</m:t>
              </m:r>
            </m:sub>
          </m:sSub>
          <m:r>
            <m:t xml:space="preserve">(</m:t>
          </m:r>
          <m:sSub>
            <m:e>
              <m:r>
                <m:t xml:space="preserve">d</m:t>
              </m:r>
            </m:e>
            <m:sub>
              <m:r>
                <m:t xml:space="preserve">t</m:t>
              </m:r>
            </m:sub>
          </m:sSub>
          <m:r>
            <m:t xml:space="preserve">) = −0.25 exp(1.4(</m:t>
          </m:r>
          <m:sSub>
            <m:e>
              <m:r>
                <m:t xml:space="preserve">d</m:t>
              </m:r>
            </m:e>
            <m:sub>
              <m:r>
                <m:t xml:space="preserve">min</m:t>
              </m:r>
            </m:sub>
          </m:sSub>
          <m:r>
            <m:t xml:space="preserve">−</m:t>
          </m:r>
          <m:sSub>
            <m:e>
              <m:r>
                <m:t xml:space="preserve">d</m:t>
              </m:r>
            </m:e>
            <m:sub>
              <m:r>
                <m:t xml:space="preserve">t</m:t>
              </m:r>
            </m:sub>
          </m:sSub>
          <m:r>
            <m:t xml:space="preserve">)) if too close; centered reward in [</m:t>
          </m:r>
          <m:sSub>
            <m:e>
              <m:r>
                <m:t xml:space="preserve">d</m:t>
              </m:r>
            </m:e>
            <m:sub>
              <m:r>
                <m:t xml:space="preserve">min</m:t>
              </m:r>
            </m:sub>
          </m:sSub>
          <m:r>
            <m:t xml:space="preserve">,</m:t>
          </m:r>
          <m:sSub>
            <m:e>
              <m:r>
                <m:t xml:space="preserve">d</m:t>
              </m:r>
            </m:e>
            <m:sub>
              <m:r>
                <m:t xml:space="preserve">max</m:t>
              </m:r>
            </m:sub>
          </m:sSub>
          <m:r>
            <m:t xml:space="preserve">]; −0.35(</m:t>
          </m:r>
          <m:sSub>
            <m:e>
              <m:r>
                <m:t xml:space="preserve">d</m:t>
              </m:r>
            </m:e>
            <m:sub>
              <m:r>
                <m:t xml:space="preserve">t</m:t>
              </m:r>
            </m:sub>
          </m:sSub>
          <m:r>
            <m:t xml:space="preserve">−</m:t>
          </m:r>
          <m:sSub>
            <m:e>
              <m:r>
                <m:t xml:space="preserve">d</m:t>
              </m:r>
            </m:e>
            <m:sub>
              <m:r>
                <m:t xml:space="preserve">max</m:t>
              </m:r>
            </m:sub>
          </m:sSub>
          <m:r>
            <m:t xml:space="preserve">) if too far</m:t>
          </m:r>
        </m:oMath>
      </m:oMathPara>
    </w:p>
    <w:p>
      <w:pPr>
        <w:ind w:firstLine="288"/>
        <w:jc w:val="both"/>
      </w:pPr>
      <w:r>
        <w:rPr>
          <w:rFonts w:ascii="Times New Roman" w:hAnsi="Times New Roman" w:eastAsia="Times New Roman"/>
          <w:b w:val="0"/>
          <w:sz w:val="20"/>
        </w:rPr>
        <w:t>where r_ZPD(d_t) gives an exponential penalty when the hand is too close, a centered positive reward inside the ZPD band, and a linear penalty when the microrobot is too far. In the reported simulations, w_s = 0.2, w_c = 40, w_b = 80, w_j = 2, d_c = 2.0 workspace units, and the episode terminates when the microrobot is caught, exits the workspace, or reaches the 100-step horizon. This objective trains the robot to sustain an informative ZPD-inspired interaction rather than simply maximizing escape distance.</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(CMD-DR) broadens the simulated user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Users can differ both in how they choose to move and in how accurately they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opponent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either moves toward the microrobot or makes a small random exploratory move. Its intended displacement is defined in (2), where the pursuit direction points from the current hand position toward the current microrobot position.</w:t>
      </w:r>
    </w:p>
    <w:p>
      <w:pPr>
        <w:pStyle w:val="DisplayEquation"/>
        <w:spacing w:before="60" w:after="60"/>
        <w:jc w:val="center"/>
      </w:pPr>
      <m:oMathPara>
        <m:oMath>
          <m:sSub>
            <m:e>
              <m:r>
                <m:t xml:space="preserve">ê</m:t>
              </m:r>
            </m:e>
            <m:sub>
              <m:r>
                <m:t xml:space="preserve">t</m:t>
              </m:r>
            </m:sub>
          </m:sSub>
          <m:r>
            <m:t xml:space="preserve"> = </m:t>
          </m:r>
          <m:f>
            <m:fPr>
              <m:type m:val="bar"/>
            </m:fPr>
            <m:num>
              <m:sSub>
                <m:e>
                  <m:r>
                    <m:t xml:space="preserve">p</m:t>
                  </m:r>
                </m:e>
                <m:sub>
                  <m:r>
                    <m:t xml:space="preserve">R,t</m:t>
                  </m:r>
                </m:sub>
              </m:sSub>
              <m:r>
                <m:t xml:space="preserve"> − </m:t>
              </m:r>
              <m:sSub>
                <m:e>
                  <m:r>
                    <m:t xml:space="preserve">p</m:t>
                  </m:r>
                </m:e>
                <m:sub>
                  <m:r>
                    <m:t xml:space="preserve">H,t</m:t>
                  </m:r>
                </m:sub>
              </m:sSub>
            </m:num>
            <m:den>
              <m:r>
                <m:t xml:space="preserve">‖</m:t>
              </m:r>
              <m:sSub>
                <m:e>
                  <m:r>
                    <m:t xml:space="preserve">p</m:t>
                  </m:r>
                </m:e>
                <m:sub>
                  <m:r>
                    <m:t xml:space="preserve">R,t</m:t>
                  </m:r>
                </m:sub>
              </m:sSub>
              <m:r>
                <m:t xml:space="preserve"> − </m:t>
              </m:r>
              <m:sSub>
                <m:e>
                  <m:r>
                    <m:t xml:space="preserve">p</m:t>
                  </m:r>
                </m:e>
                <m:sub>
                  <m:r>
                    <m:t xml:space="preserve">H,t</m:t>
                  </m:r>
                </m:sub>
              </m:sSub>
              <m:r>
                <m:t xml:space="preserve">‖₂</m:t>
              </m:r>
            </m:den>
          </m:f>
        </m:oMath>
      </m:oMathPara>
      <w:r>
        <w:br/>
      </w:r>
      <m:oMathPara>
        <m:oMath>
          <m:sSubSup>
            <m:e>
              <m:r>
                <m:t xml:space="preserve">u</m:t>
              </m:r>
            </m:e>
            <m:sub>
              <m:r>
                <m:t xml:space="preserve">t</m:t>
              </m:r>
            </m:sub>
            <m:sup>
              <m:r>
                <m:t xml:space="preserve">SPC</m:t>
              </m:r>
            </m:sup>
          </m:sSubSup>
          <m:r>
            <m:t xml:space="preserve"> = </m:t>
          </m:r>
          <m:sSub>
            <m:e>
              <m:r>
                <m:t xml:space="preserve">ρ</m:t>
              </m:r>
            </m:e>
            <m:sub>
              <m:r>
                <m:t xml:space="preserve">ep</m:t>
              </m:r>
            </m:sub>
          </m:sSub>
          <m:r>
            <m:t xml:space="preserve">[</m:t>
          </m:r>
          <m:sSub>
            <m:e>
              <m:r>
                <m:t xml:space="preserve">z</m:t>
              </m:r>
            </m:e>
            <m:sub>
              <m:r>
                <m:t xml:space="preserve">t</m:t>
              </m:r>
            </m:sub>
          </m:sSub>
          <m:r>
            <m:t xml:space="preserve"> </m:t>
          </m:r>
          <m:sSub>
            <m:e>
              <m:r>
                <m:t xml:space="preserve">ξ̂</m:t>
              </m:r>
            </m:e>
            <m:sub>
              <m:r>
                <m:t xml:space="preserve">t</m:t>
              </m:r>
            </m:sub>
          </m:sSub>
          <m:r>
            <m:t xml:space="preserve"> + (1−</m:t>
          </m:r>
          <m:sSub>
            <m:e>
              <m:r>
                <m:t xml:space="preserve">z</m:t>
              </m:r>
            </m:e>
            <m:sub>
              <m:r>
                <m:t xml:space="preserve">t</m:t>
              </m:r>
            </m:sub>
          </m:sSub>
          <m:r>
            <m:t xml:space="preserve">)</m:t>
          </m:r>
          <m:sSub>
            <m:e>
              <m:r>
                <m:t xml:space="preserve">ê</m:t>
              </m:r>
            </m:e>
            <m:sub>
              <m:r>
                <m:t xml:space="preserve">t</m:t>
              </m:r>
            </m:sub>
          </m:sSub>
          <m:r>
            <m:t xml:space="preserve">],  </m:t>
          </m:r>
          <m:sSub>
            <m:e>
              <m:r>
                <m:t xml:space="preserve">z</m:t>
              </m:r>
            </m:e>
            <m:sub>
              <m:r>
                <m:t xml:space="preserve">t</m:t>
              </m:r>
            </m:sub>
          </m:sSub>
          <m:r>
            <m:t xml:space="preserve"> ~ Bernoulli(ε)</m:t>
          </m:r>
          <m:r>
            <m:t xml:space="preserve">    (2)</m:t>
          </m:r>
        </m:oMath>
      </m:oMathPara>
    </w:p>
    <w:p>
      <w:pPr>
        <w:ind w:firstLine="288"/>
        <w:jc w:val="both"/>
      </w:pPr>
      <w:r>
        <w:rPr>
          <w:rFonts w:ascii="Times New Roman" w:hAnsi="Times New Roman" w:eastAsia="Times New Roman"/>
          <w:b w:val="0"/>
          <w:sz w:val="20"/>
        </w:rPr>
        <w:t>Here, p_R,t and p_H,t are the microrobot and hand positions, xi_hat_t is a normalized random direction, rho_ep is sampled from U(0.45, 0.70), and epsilon = 0.05. The learned hand policies replace (2)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α ∈ (0,1)</m:t>
          </m:r>
          <m:r>
            <m:t xml:space="preserve">    (3)</m:t>
          </m:r>
        </m:oMath>
      </m:oMathPara>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m:t>
          </m:r>
          <m:sSub>
            <m:e>
              <m:r>
                <m:t xml:space="preserve">η</m:t>
              </m:r>
            </m:e>
            <m:sub>
              <m:r>
                <m:t xml:space="preserve">t</m:t>
              </m:r>
            </m:sub>
          </m:sSub>
          <m:r>
            <m:t xml:space="preserve"> ~ N(0,</m:t>
          </m:r>
          <m:sSup>
            <m:e>
              <m:r>
                <m:t xml:space="preserve">σ</m:t>
              </m:r>
            </m:e>
            <m:sup>
              <m:r>
                <m:t xml:space="preserve">2</m:t>
              </m:r>
            </m:sup>
          </m:sSup>
          <m:r>
            <m:t xml:space="preserve">I)</m:t>
          </m:r>
          <m:r>
            <m:t xml:space="preserve">    (5)</m:t>
          </m:r>
        </m:oMath>
      </m:oMathPara>
    </w:p>
    <w:p>
      <w:pPr>
        <w:ind w:firstLine="288"/>
        <w:jc w:val="both"/>
      </w:pPr>
      <w:r>
        <w:rPr>
          <w:rFonts w:ascii="Times New Roman" w:hAnsi="Times New Roman" w:eastAsia="Times New Roman"/>
          <w:b w:val="0"/>
          <w:sz w:val="20"/>
        </w:rPr>
        <w:t>where delta is sampled from the delay range and eta_t models camera-level position noise.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U(0.01, 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but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target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an opponent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opponent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opponent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opponent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opponents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opponent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opponent-sampling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opponents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hand-behavior models introduced in Section III. The robot controlled the magnetic microrobot, while the hand trajectory was generated by one of three evaluation interfaces. The first was the stochastic scripted pursuit controller, the second was a trained hand policy, and the third was a mouse-operated hand interface used for human-in-the-loop stress testing. The ZPD interval was fixed to 3.5-5.5 workspace units, and an interaction step was classified as in-zone when the Euclidean distance between the hand and the microrobot fell within this interval.</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measures the frequency with which the microrobot is reached too quickly.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opponent-pool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behavior and difficult-case behavior, as shown in Fig. 3. The cross-iteration validation matrix evaluates each robot generation against each learned hand policy. Earlier learned hand policies remain comparatively easy to regulate, whereas later policies introduce pursuit strategies that are harder for narrow training regimes. Later robot generations improve across a broader portion of this matrix, indicating that the league does not merely produce a policy that performs well on the final learned hand policy.</w:t>
      </w:r>
    </w:p>
    <w:p>
      <w:pPr>
        <w:ind w:firstLine="288"/>
        <w:jc w:val="both"/>
      </w:pPr>
      <w:r>
        <w:rPr>
          <w:rFonts w:ascii="Times New Roman" w:hAnsi="Times New Roman" w:eastAsia="Times New Roman"/>
          <w:b w:val="0"/>
          <w:sz w:val="20"/>
        </w:rPr>
        <w:t>Lower-tail robustness is important for adaptive difficulty regulation. Mean TIZ improves across generations, but worst-hand TIZ and CVaR20 also improve. A controller that raises only the average score could still fail for users with more difficult movement patterns. The frontier view shows that later robot generations move toward policies that retain useful ZPD regulation even on harder hand policies.</w:t>
      </w:r>
    </w:p>
    <w:p>
      <w:pPr>
        <w:ind w:firstLine="288"/>
        <w:jc w:val="both"/>
      </w:pPr>
      <w:r>
        <w:rPr>
          <w:rFonts w:ascii="Times New Roman" w:hAnsi="Times New Roman" w:eastAsia="Times New Roman"/>
          <w:b w:val="0"/>
          <w:sz w:val="20"/>
        </w:rPr>
        <w:t>The final-generation results clarify the remaining failure modes. Some hand policies still create episodes that become too close, while others push the robot toward too-far interactions. Separating these modes matters because both reduce task utility for different reasons. Too-close interactions make the task too easy, while too-far interactions make the task discouraging or unreachable. The league policy maintains useful ZPD coverage despite these different failure patterns, suggesting that the learned behavior is balanced rather than tuned to one type of opponent.</w:t>
      </w:r>
    </w:p>
    <w:p>
      <w:pPr>
        <w:ind w:firstLine="288"/>
        <w:jc w:val="both"/>
      </w:pPr>
      <w:r>
        <w:rPr>
          <w:rFonts w:ascii="Times New Roman" w:hAnsi="Times New Roman" w:eastAsia="Times New Roman"/>
          <w:b w:val="0"/>
          <w:sz w:val="20"/>
        </w:rPr>
        <w:t>The PFSP sampling traces link this balanced performance to the curriculum induced by opponent sampling. Sampling probability shifts toward learned hand policies that remain challenging for the current robot generation, while the uniform mixture and fixed SPC probability keep earlier and rule-based pursuit behaviors available. As the league evolves, difficult learned opponents receive more attention without removing simpler pursuit behavior from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TIZ matrix between robot generations and learned hand generations. (b) Mean, worst-hand, and CVaR20 TIZ across robot generations. (c) Robustness frontier relating mean TIZ, worst-hand TIZ,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a mouse-controlled hand, as summarized in Table II. The mouse-controlled condition introduces human reaction time and voluntary pursuit strategy, so it is interpreted as a human-in-the-loop stress test rather than another automated opponent. Higher TIZ, ZPD coverage, and episode length are preferred, whereas lower catch rate is preferred.</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pPr>
              <w:jc w:val="center"/>
            </w:pPr>
            <w:r>
              <w:rPr>
                <w:rFonts w:ascii="Times New Roman" w:hAnsi="Times New Roman" w:eastAsia="Times New Roman"/>
                <w:b/>
                <w:sz w:val="17"/>
              </w:rPr>
              <w:t>Robot policy</w:t>
            </w:r>
          </w:p>
        </w:tc>
        <w:tc>
          <w:tcPr>
            <w:tcW w:type="dxa" w:w="1704"/>
            <w:vAlign w:val="center"/>
            <w:shd w:fill="EDEDED"/>
          </w:tcPr>
          <w:p>
            <w:pPr>
              <w:jc w:val="center"/>
            </w:pPr>
            <w:r>
              <w:rPr>
                <w:rFonts w:ascii="Times New Roman" w:hAnsi="Times New Roman" w:eastAsia="Times New Roman"/>
                <w:b/>
                <w:sz w:val="17"/>
              </w:rPr>
              <w:t>Test set</w:t>
            </w:r>
          </w:p>
        </w:tc>
        <w:tc>
          <w:tcPr>
            <w:tcW w:type="dxa" w:w="1704"/>
            <w:vAlign w:val="center"/>
            <w:shd w:fill="EDEDED"/>
          </w:tcPr>
          <w:p>
            <w:pPr>
              <w:jc w:val="center"/>
            </w:pPr>
            <w:r>
              <w:rPr>
                <w:rFonts w:ascii="Times New Roman" w:hAnsi="Times New Roman" w:eastAsia="Times New Roman"/>
                <w:b/>
                <w:sz w:val="17"/>
              </w:rPr>
              <w:t>TIZ</w:t>
            </w:r>
          </w:p>
        </w:tc>
        <w:tc>
          <w:tcPr>
            <w:tcW w:type="dxa" w:w="1704"/>
            <w:vAlign w:val="center"/>
            <w:shd w:fill="EDEDED"/>
          </w:tcPr>
          <w:p>
            <w:pPr>
              <w:jc w:val="center"/>
            </w:pPr>
            <w:r>
              <w:rPr>
                <w:rFonts w:ascii="Times New Roman" w:hAnsi="Times New Roman" w:eastAsia="Times New Roman"/>
                <w:b/>
                <w:sz w:val="17"/>
              </w:rPr>
              <w:t>ZPD coverage</w:t>
            </w:r>
          </w:p>
        </w:tc>
        <w:tc>
          <w:tcPr>
            <w:tcW w:type="dxa" w:w="1704"/>
            <w:vAlign w:val="center"/>
            <w:shd w:fill="EDEDED"/>
          </w:tcPr>
          <w:p>
            <w:pPr>
              <w:jc w:val="center"/>
            </w:pPr>
            <w:r>
              <w:rPr>
                <w:rFonts w:ascii="Times New Roman" w:hAnsi="Times New Roman" w:eastAsia="Times New Roman"/>
                <w:b/>
                <w:sz w:val="17"/>
              </w:rPr>
              <w:t>Length</w:t>
            </w:r>
          </w:p>
        </w:tc>
        <w:tc>
          <w:tcPr>
            <w:tcW w:type="dxa" w:w="1704"/>
            <w:vAlign w:val="center"/>
            <w:shd w:fill="EDEDED"/>
          </w:tcPr>
          <w:p>
            <w:pPr>
              <w:jc w:val="center"/>
            </w:pPr>
            <w:r>
              <w:rPr>
                <w:rFonts w:ascii="Times New Roman" w:hAnsi="Times New Roman" w:eastAsia="Times New Roman"/>
                <w:b/>
                <w:sz w:val="17"/>
              </w:rPr>
              <w:t>Catch rate</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0.31</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52</w:t>
            </w:r>
          </w:p>
        </w:tc>
        <w:tc>
          <w:tcPr>
            <w:tcW w:type="dxa" w:w="1704"/>
            <w:vAlign w:val="center"/>
          </w:tcPr>
          <w:p>
            <w:pPr>
              <w:jc w:val="center"/>
            </w:pPr>
            <w:r>
              <w:rPr>
                <w:rFonts w:ascii="Times New Roman" w:hAnsi="Times New Roman" w:eastAsia="Times New Roman"/>
                <w:b w:val="0"/>
                <w:sz w:val="17"/>
              </w:rPr>
              <w:t>60%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31</w:t>
            </w:r>
          </w:p>
        </w:tc>
        <w:tc>
          <w:tcPr>
            <w:tcW w:type="dxa" w:w="1704"/>
            <w:vAlign w:val="center"/>
          </w:tcPr>
          <w:p>
            <w:pPr>
              <w:jc w:val="center"/>
            </w:pPr>
            <w:r>
              <w:rPr>
                <w:rFonts w:ascii="Times New Roman" w:hAnsi="Times New Roman" w:eastAsia="Times New Roman"/>
                <w:b w:val="0"/>
                <w:sz w:val="17"/>
              </w:rPr>
              <w:t>90%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0.14</w:t>
            </w:r>
          </w:p>
        </w:tc>
        <w:tc>
          <w:tcPr>
            <w:tcW w:type="dxa" w:w="1704"/>
            <w:vAlign w:val="center"/>
          </w:tcPr>
          <w:p>
            <w:pPr>
              <w:jc w:val="center"/>
            </w:pPr>
            <w:r>
              <w:rPr>
                <w:rFonts w:ascii="Times New Roman" w:hAnsi="Times New Roman" w:eastAsia="Times New Roman"/>
                <w:b w:val="0"/>
                <w:sz w:val="17"/>
              </w:rPr>
              <w:t>0.50</w:t>
            </w:r>
          </w:p>
        </w:tc>
        <w:tc>
          <w:tcPr>
            <w:tcW w:type="dxa" w:w="1704"/>
            <w:vAlign w:val="center"/>
          </w:tcPr>
          <w:p>
            <w:pPr>
              <w:jc w:val="center"/>
            </w:pPr>
            <w:r>
              <w:rPr>
                <w:rFonts w:ascii="Times New Roman" w:hAnsi="Times New Roman" w:eastAsia="Times New Roman"/>
                <w:b w:val="0"/>
                <w:sz w:val="17"/>
              </w:rPr>
              <w:t>33</w:t>
            </w:r>
          </w:p>
        </w:tc>
        <w:tc>
          <w:tcPr>
            <w:tcW w:type="dxa" w:w="1704"/>
            <w:vAlign w:val="center"/>
          </w:tcPr>
          <w:p>
            <w:pPr>
              <w:jc w:val="center"/>
            </w:pPr>
            <w:r>
              <w:rPr>
                <w:rFonts w:ascii="Times New Roman" w:hAnsi="Times New Roman" w:eastAsia="Times New Roman"/>
                <w:b w:val="0"/>
                <w:sz w:val="17"/>
              </w:rPr>
              <w:t>100%</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0.11</w:t>
            </w:r>
          </w:p>
        </w:tc>
        <w:tc>
          <w:tcPr>
            <w:tcW w:type="dxa" w:w="1704"/>
            <w:vAlign w:val="center"/>
          </w:tcPr>
          <w:p>
            <w:pPr>
              <w:jc w:val="center"/>
            </w:pPr>
            <w:r>
              <w:rPr>
                <w:rFonts w:ascii="Times New Roman" w:hAnsi="Times New Roman" w:eastAsia="Times New Roman"/>
                <w:b w:val="0"/>
                <w:sz w:val="17"/>
              </w:rPr>
              <w:t>0.41</w:t>
            </w:r>
          </w:p>
        </w:tc>
        <w:tc>
          <w:tcPr>
            <w:tcW w:type="dxa" w:w="1704"/>
            <w:vAlign w:val="center"/>
          </w:tcPr>
          <w:p>
            <w:pPr>
              <w:jc w:val="center"/>
            </w:pPr>
            <w:r>
              <w:rPr>
                <w:rFonts w:ascii="Times New Roman" w:hAnsi="Times New Roman" w:eastAsia="Times New Roman"/>
                <w:b w:val="0"/>
                <w:sz w:val="17"/>
              </w:rPr>
              <w:t>25</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0.60</w:t>
            </w:r>
          </w:p>
        </w:tc>
        <w:tc>
          <w:tcPr>
            <w:tcW w:type="dxa" w:w="1704"/>
            <w:vAlign w:val="center"/>
          </w:tcPr>
          <w:p>
            <w:pPr>
              <w:jc w:val="center"/>
            </w:pPr>
            <w:r>
              <w:rPr>
                <w:rFonts w:ascii="Times New Roman" w:hAnsi="Times New Roman" w:eastAsia="Times New Roman"/>
                <w:b w:val="0"/>
                <w:sz w:val="17"/>
              </w:rPr>
              <w:t>70</w:t>
            </w:r>
          </w:p>
        </w:tc>
        <w:tc>
          <w:tcPr>
            <w:tcW w:type="dxa" w:w="1704"/>
            <w:vAlign w:val="center"/>
          </w:tcPr>
          <w:p>
            <w:pPr>
              <w:jc w:val="center"/>
            </w:pPr>
            <w:r>
              <w:rPr>
                <w:rFonts w:ascii="Times New Roman" w:hAnsi="Times New Roman" w:eastAsia="Times New Roman"/>
                <w:b w:val="0"/>
                <w:sz w:val="17"/>
              </w:rPr>
              <w:t>38%</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40</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0.38</w:t>
            </w:r>
          </w:p>
        </w:tc>
        <w:tc>
          <w:tcPr>
            <w:tcW w:type="dxa" w:w="1704"/>
            <w:vAlign w:val="center"/>
          </w:tcPr>
          <w:p>
            <w:pPr>
              <w:jc w:val="center"/>
            </w:pPr>
            <w:r>
              <w:rPr>
                <w:rFonts w:ascii="Times New Roman" w:hAnsi="Times New Roman" w:eastAsia="Times New Roman"/>
                <w:b w:val="0"/>
                <w:sz w:val="17"/>
              </w:rPr>
              <w:t>0.55</w:t>
            </w:r>
          </w:p>
        </w:tc>
        <w:tc>
          <w:tcPr>
            <w:tcW w:type="dxa" w:w="1704"/>
            <w:vAlign w:val="center"/>
          </w:tcPr>
          <w:p>
            <w:pPr>
              <w:jc w:val="center"/>
            </w:pPr>
            <w:r>
              <w:rPr>
                <w:rFonts w:ascii="Times New Roman" w:hAnsi="Times New Roman" w:eastAsia="Times New Roman"/>
                <w:b w:val="0"/>
                <w:sz w:val="17"/>
              </w:rPr>
              <w:t>67</w:t>
            </w:r>
          </w:p>
        </w:tc>
        <w:tc>
          <w:tcPr>
            <w:tcW w:type="dxa" w:w="1704"/>
            <w:vAlign w:val="center"/>
          </w:tcPr>
          <w:p>
            <w:pPr>
              <w:jc w:val="center"/>
            </w:pPr>
            <w:r>
              <w:rPr>
                <w:rFonts w:ascii="Times New Roman" w:hAnsi="Times New Roman" w:eastAsia="Times New Roman"/>
                <w:b w:val="0"/>
                <w:sz w:val="17"/>
              </w:rPr>
              <w:t>43%</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0.65</w:t>
            </w:r>
          </w:p>
        </w:tc>
        <w:tc>
          <w:tcPr>
            <w:tcW w:type="dxa" w:w="1704"/>
            <w:vAlign w:val="center"/>
          </w:tcPr>
          <w:p>
            <w:pPr>
              <w:jc w:val="center"/>
            </w:pPr>
            <w:r>
              <w:rPr>
                <w:rFonts w:ascii="Times New Roman" w:hAnsi="Times New Roman" w:eastAsia="Times New Roman"/>
                <w:b w:val="0"/>
                <w:sz w:val="17"/>
              </w:rPr>
              <w:t>64</w:t>
            </w:r>
          </w:p>
        </w:tc>
        <w:tc>
          <w:tcPr>
            <w:tcW w:type="dxa" w:w="1704"/>
            <w:vAlign w:val="center"/>
          </w:tcPr>
          <w:p>
            <w:pPr>
              <w:jc w:val="center"/>
            </w:pPr>
            <w:r>
              <w:rPr>
                <w:rFonts w:ascii="Times New Roman" w:hAnsi="Times New Roman" w:eastAsia="Times New Roman"/>
                <w:b w:val="0"/>
                <w:sz w:val="17"/>
              </w:rPr>
              <w:t>48%</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0.66</w:t>
            </w:r>
          </w:p>
        </w:tc>
        <w:tc>
          <w:tcPr>
            <w:tcW w:type="dxa" w:w="1704"/>
            <w:vAlign w:val="center"/>
          </w:tcPr>
          <w:p>
            <w:pPr>
              <w:jc w:val="center"/>
            </w:pPr>
            <w:r>
              <w:rPr>
                <w:rFonts w:ascii="Times New Roman" w:hAnsi="Times New Roman" w:eastAsia="Times New Roman"/>
                <w:b w:val="0"/>
                <w:sz w:val="17"/>
              </w:rPr>
              <w:t>74</w:t>
            </w:r>
          </w:p>
        </w:tc>
        <w:tc>
          <w:tcPr>
            <w:tcW w:type="dxa" w:w="1704"/>
            <w:vAlign w:val="center"/>
          </w:tcPr>
          <w:p>
            <w:pPr>
              <w:jc w:val="center"/>
            </w:pPr>
            <w:r>
              <w:rPr>
                <w:rFonts w:ascii="Times New Roman" w:hAnsi="Times New Roman" w:eastAsia="Times New Roman"/>
                <w:b w:val="0"/>
                <w:sz w:val="17"/>
              </w:rPr>
              <w:t>60%</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on the scripted pursuit controller but produces short, low-TIZ interactions against the learned and mouse-controlled hands. The single-hand robot shows the opposite pattern. It performs well against the learned hand policy but degrades sharply against the SPC and mouse-controlled hands, indicating specialization to one pursuit style.</w:t>
      </w:r>
    </w:p>
    <w:p>
      <w:pPr>
        <w:ind w:firstLine="288"/>
        <w:jc w:val="both"/>
      </w:pPr>
      <w:r>
        <w:rPr>
          <w:rFonts w:ascii="Times New Roman" w:hAnsi="Times New Roman" w:eastAsia="Times New Roman"/>
          <w:b w:val="0"/>
          <w:sz w:val="20"/>
        </w:rPr>
        <w:t>The league-trained robot avoids this cross-condition collapse. It achieves the highest TIZ and longest episodes on the SPC and mouse-controlled tests, while remaining comparable to the single-hand robot on the learned-hand test. The mouse-controlled result is especially informative because it introduces human reaction time and voluntary pursuit strategy. For adaptive difficulty regulation, this balanced profile is more important than optimizing a single test condition, because user behavior can shift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hand-motion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Fig. 4 shows that temporal interaction history improves the robot policy beyond the MLP baseline, and that auxiliary future-dynamics supervision further improves the final task-quality profile. In the training curves, both recurrent policies achieve longer and more stable interactions than the MLP policy, indicating that recent hand-motion history is useful for regulating difficulty. The auxiliary GRU follows a similar training trend to the GRU policy, but its final evaluation is stronger in the task-quality summary: it achieves higher TIZ, broader workspace coverage, and lower jerk relative to the MLP baseline.</w:t>
      </w:r>
    </w:p>
    <w:p>
      <w:pPr>
        <w:ind w:firstLine="288"/>
        <w:jc w:val="both"/>
      </w:pPr>
      <w:r>
        <w:rPr>
          <w:rFonts w:ascii="Times New Roman" w:hAnsi="Times New Roman" w:eastAsia="Times New Roman"/>
          <w:b w:val="0"/>
          <w:sz w:val="20"/>
        </w:rPr>
        <w:t>The auxiliary prediction examples provide a complementary diagnostic of why this improvement is plausible. The future-dynamics head learns to predict short-horizon hand displacement from the recurrent representation, so the temporal encoder is trained not only through sparse policy gradients but also through a supervised motion-prediction signal. This additional signal encourages the representation to encode pursuit direction, inertia, and short-term changes in hand motion. The result is not merely an interpretable auxiliary output; it also contributes to the final control behavior summarized in Fig. 4(d).</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 (c) visualizes representative auxiliary future-prediction examples. Panel (d) summarizes final task-quality metrics normalized to the MLP baseline.</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magnetic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stream was requested at 2592 x 1944 resolution and processed at 12.1 Hz on average, the UR10 command loop averaged 17.9 Hz, and PPO inference required 2.24 ms on average. The mean image-to-control age recorded in the control loop was 26.8 ms, with a 95th percentile of 63.3 ms. The physical rollouts lasted 14.9-41.6 s, with a mean duration of 28.4 s.</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show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shows that changes in human pursuit speed are reflected in the physical interaction and in the robot response during the same rollout. Thus, the deployment result verifies more than offline policy inference: it shows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magnetic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