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b w:val="0"/>
          <w:i w:val="0"/>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b w:val="0"/>
          <w:i w:val="0"/>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roofErr w:type="spellStart"/>
      <w:r w:rsidRPr="001F01A9"/>
      <w:r/>
      <w:proofErr w:type="spellEnd"/>
      <w:r w:rsidRPr="001F01A9"/>
    </w:p>
    <w:p w14:paraId="2464E777" w14:textId="570C74BB" w:rsidR="001F01A9" w:rsidRPr="001F01A9" w:rsidRDefault="001F01A9" w:rsidP="001F01A9">
      <w:pPr>
        <w:spacing w:before="120" w:after="60"/>
        <w:ind w:firstLineChars="100" w:firstLine="200"/>
      </w:pPr>
      <w:r w:rsidRPr="001F01A9">
        <w:rPr>
          <w:b w:val="0"/>
          <w:i w:val="0"/>
          <w:sz w:val="24"/>
        </w:rPr>
        <w:t>Because the acrylic sheet fully separates the arm from the patient's limb, the system removes the risk of blunt trauma, excessive traction, or crushing injuries that exist in direct-contact devices. Beyond safety, the system is structurally simple and low-cost: it requires only a standard collaborative robot, a camera, and a magnet, with no wearable components, force sensors, or custom actuators. The microrobot is unpowered and passively driven by the magnetic field, eliminating the need for onboard electronics or batteries. This simplicity makes the platform easy to set up, maintain, and replicate across clinical sites. The hardware-level safety guarantee also allows end-to-end RL policies to be deployed and refined directly on the physical platform, without the ethical constraints that prevent online learning on conventional exoskeletons.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rPr>
          <w:b w:val="0"/>
          <w:i w:val="0"/>
          <w:sz w:val="24"/>
        </w:rPr>
        <w:t>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distance range between the hand and the microrobot: the robot should neither escape completely nor yield passively, but keep the distance within this range so the patient stays challenged without becoming fatigued or frustrated.</w:t>
      </w:r>
    </w:p>
    <w:p w14:paraId="7B52DAD1" w14:textId="79C99EED" w:rsidR="0063051E" w:rsidRPr="0063051E" w:rsidRDefault="0063051E" w:rsidP="0063051E">
      <w:pPr>
        <w:spacing w:before="120" w:after="60"/>
        <w:ind w:firstLineChars="100" w:firstLine="200"/>
      </w:pPr>
      <w:r>
        <w:rPr>
          <w:b w:val="0"/>
          <w:i w:val="0"/>
          <w:sz w:val="24"/>
        </w:rPr>
        <w:t>Achieving this adaptive behavior in practice is difficult. Classical controllers such as Artificial Potential Fields or rule-based impedance models react only to instantaneous position errors and cannot anticipate higher-level strategies like trajectory interception. They also degrade under the physiological noise of neurological patients, including tremor and bradykinesia. An effective controller must infer patient intent from temporal movement patterns and refine its strategy through accumulated interaction experience. Reinforcement learning offers a natural fit: the robot learns a control policy by trial and error in the environment, receiving reward when it keeps the hand-robot distance inside the therapeutic range and penalty when it violates safety boundaries. Because the RL agent observes the full history of hand displacements, it can capture temporal patterns that classical controllers miss, and because it improves through interaction, it adapts to each patient without manual retuning. The next two sections describe how we train this policy to generalize across the diverse behaviors of real neurological patients.</w:t>
      </w:r>
      <w:r w:rsidRPr="0063051E"/>
      <w:r/>
      <w:r w:rsidRPr="0063051E"/>
      <w:r/>
      <w:r w:rsidRPr="0063051E"/>
    </w:p>
    <w:p w14:paraId="3E0D2013" w14:textId="77777777" w:rsidR="00FE726F" w:rsidRDefault="00403576">
      <w:pPr>
        <w:spacing w:before="240" w:after="120"/>
        <w:jc w:val="center"/>
      </w:pPr>
      <w:r>
        <w:rPr>
          <w:b/>
        </w:rPr>
        <w:t>IV. METHODOLOGY</w:t>
      </w:r>
    </w:p>
    <w:p>
      <w:pPr>
        <w:jc w:val="both"/>
      </w:pPr>
      <w:r>
        <w:rPr>
          <w:sz w:val="24"/>
          <w:szCs w:val="24"/>
        </w:rPr>
        <w:t xml:space="preserve">The previous section formulated the rehabilitation task and motivated the use of reinforcement learning. This section describes the complete training framework. We first introduce a domain randomization scheme that accounts for both patient movement strategies and motor limitations (Section IV-A). We then present a dual-stream encoder with an auxiliary forward dynamics head to extract motion information from noisy temporal observations (Section IV-B). Finally, we describe a league training procedure that improves the robustness of the robot policy against a growing pool of hand behaviors (Section IV-C).</w:t>
      </w:r>
    </w:p>
    <w:p w14:paraId="0F05EB57" w14:textId="77777777" w:rsidR="00FE726F" w:rsidRDefault="00403576">
      <w:pPr>
        <w:spacing w:before="120" w:after="60"/>
      </w:pPr>
      <w:r>
        <w:rPr>
          <w:b/>
          <w:i/>
        </w:rPr>
        <w:t>A. Cognitive-Motor Decoupled Domain Randomization</w:t>
      </w:r>
    </w:p>
    <w:p>
      <w:pPr>
        <w:jc w:val="both"/>
      </w:pPr>
      <w:r>
        <w:rPr>
          <w:sz w:val="24"/>
          <w:szCs w:val="24"/>
        </w:rPr>
        <w:t xml:space="preserve">The pursuit-evasion task is implemented as a Gymnasium environment with two interacting entities. The robot policy controls the magnetic microrobot, while the hand represents the patient and is controlled by a separate policy or scripted controller. A key challenge for real-world deployment is that neurological patients may move in very different ways. If the simulated hand follows only one fixed strategy, the learned robot policy may overfit to that behavior and perform poorly when facing real patients. To address this issue, we use a two-layer domain randomization scheme. The first layer randomizes the hand's movement strategy. At the beginning of each episode, a hand controller is sampled from an opponent pool. This pool includes simple scripted controllers based on fixed pursuit rules as well as trained RL controllers that can intercept and anticipate the microrobot. The selected controller produces a desired hand displacement at each timestep. The second layer modifies this desired displacement according to motor and sensing constraints. The raw displacement is first passed through a first-order low-pass filter to model muscle inertia:</w:t>
      </w:r>
    </w:p>
    <w:p>
      <w:pPr>
        <w:jc w:val="both"/>
      </w:pPr>
      <w:r>
        <w:rPr>
          <w:sz w:val="24"/>
          <w:szCs w:val="24"/>
        </w:rPr>
        <w:t xml:space="preserve">x_t = alpha x_{t-1} + (1 - alpha) u_t,   alpha in (0, 1),</w:t>
      </w:r>
    </w:p>
    <w:p>
      <w:pPr>
        <w:jc w:val="both"/>
      </w:pPr>
      <w:r>
        <w:rPr>
          <w:sz w:val="24"/>
          <w:szCs w:val="24"/>
        </w:rPr>
        <w:t xml:space="preserve">where u_t denotes the raw desired displacement and x_t denotes the filtered displacement. Acceleration clipping is then applied to limit abrupt changes in motion:</w:t>
      </w:r>
    </w:p>
    <w:p>
      <w:pPr>
        <w:jc w:val="both"/>
      </w:pPr>
      <w:r>
        <w:rPr>
          <w:sz w:val="24"/>
          <w:szCs w:val="24"/>
        </w:rPr>
        <w:t xml:space="preserve">Delta x_t = clip(x_t - x_{t-1}, -a_max, a_max).</w:t>
      </w:r>
    </w:p>
    <w:p>
      <w:pPr>
        <w:jc w:val="both"/>
      </w:pPr>
      <w:r>
        <w:rPr>
          <w:sz w:val="24"/>
          <w:szCs w:val="24"/>
        </w:rPr>
        <w:t xml:space="preserve">Gaussian observation noise is further added to simulate position estimation errors from the vision system. To model delayed motor response, a temporal delay is introduced so that the displacement executed at time t corresponds to the intended displacement generated several frames earlier. The delay is sampled at the beginning of each episode. This design separates what the hand attempts to do from how the movement is actually executed. As a result, the robot policy is exposed to a wide range of patient-like behaviors and is encouraged to learn motion patterns that are not tied to a single simulated hand model.</w:t>
      </w:r>
    </w:p>
    <w:tbl>
      <w:tblPr>
        <w:tblStyle w:val="TableGrid"/>
        <w:tblW w:type="pct" w:w="5000"/>
        <w:jc w:val="center"/>
      </w:tblPr>
      <w:tblGrid>
        <w:gridCol/>
        <w:gridCol/>
        <w:gridCol/>
      </w:tblGrid>
      <w:tr>
        <w:tc>
          <w:p>
            <w:pPr>
              <w:jc w:val="center"/>
            </w:pPr>
            <w:r>
              <w:rPr>
                <w:b/>
                <w:sz w:val="18"/>
              </w:rPr>
              <w:t xml:space="preserve">Parameter</w:t>
            </w:r>
          </w:p>
        </w:tc>
        <w:tc>
          <w:p>
            <w:pPr>
              <w:jc w:val="center"/>
            </w:pPr>
            <w:r>
              <w:rPr>
                <w:b/>
                <w:sz w:val="18"/>
              </w:rPr>
              <w:t xml:space="preserve">Symbol</w:t>
            </w:r>
          </w:p>
        </w:tc>
        <w:tc>
          <w:p>
            <w:pPr>
              <w:jc w:val="center"/>
            </w:pPr>
            <w:r>
              <w:rPr>
                <w:b/>
                <w:sz w:val="18"/>
              </w:rPr>
              <w:t xml:space="preserve">Range</w:t>
            </w:r>
          </w:p>
        </w:tc>
      </w:tr>
      <w:tr>
        <w:tc>
          <w:p>
            <w:pPr>
              <w:jc w:val="center"/>
            </w:pPr>
            <w:r>
              <w:rPr>
                <w:sz w:val="18"/>
              </w:rPr>
              <w:t xml:space="preserve">Muscle inertia</w:t>
            </w:r>
          </w:p>
        </w:tc>
        <w:tc>
          <w:p>
            <w:pPr>
              <w:jc w:val="center"/>
            </w:pPr>
            <w:r>
              <w:rPr>
                <w:sz w:val="18"/>
              </w:rPr>
              <w:t xml:space="preserve">alpha</w:t>
            </w:r>
          </w:p>
        </w:tc>
        <w:tc>
          <w:p>
            <w:pPr>
              <w:jc w:val="center"/>
            </w:pPr>
            <w:r>
              <w:rPr>
                <w:sz w:val="18"/>
              </w:rPr>
              <w:t xml:space="preserve">0.7</w:t>
            </w:r>
          </w:p>
        </w:tc>
      </w:tr>
      <w:tr>
        <w:tc>
          <w:p>
            <w:pPr>
              <w:jc w:val="center"/>
            </w:pPr>
            <w:r>
              <w:rPr>
                <w:sz w:val="18"/>
              </w:rPr>
              <w:t xml:space="preserve">Maximum acceleration</w:t>
            </w:r>
          </w:p>
        </w:tc>
        <w:tc>
          <w:p>
            <w:pPr>
              <w:jc w:val="center"/>
            </w:pPr>
            <w:r>
              <w:rPr>
                <w:sz w:val="18"/>
              </w:rPr>
              <w:t xml:space="preserve">a_max</w:t>
            </w:r>
          </w:p>
        </w:tc>
        <w:tc>
          <w:p>
            <w:pPr>
              <w:jc w:val="center"/>
            </w:pPr>
            <w:r>
              <w:rPr>
                <w:sz w:val="18"/>
              </w:rPr>
              <w:t xml:space="preserve">0.15</w:t>
            </w:r>
          </w:p>
        </w:tc>
      </w:tr>
      <w:tr>
        <w:tc>
          <w:p>
            <w:pPr>
              <w:jc w:val="center"/>
            </w:pPr>
            <w:r>
              <w:rPr>
                <w:sz w:val="18"/>
              </w:rPr>
              <w:t xml:space="preserve">Gaussian observation noise</w:t>
            </w:r>
          </w:p>
        </w:tc>
        <w:tc>
          <w:p>
            <w:pPr>
              <w:jc w:val="center"/>
            </w:pPr>
            <w:r>
              <w:rPr>
                <w:sz w:val="18"/>
              </w:rPr>
              <w:t xml:space="preserve">sigma</w:t>
            </w:r>
          </w:p>
        </w:tc>
        <w:tc>
          <w:p>
            <w:pPr>
              <w:jc w:val="center"/>
            </w:pPr>
            <w:r>
              <w:rPr>
                <w:sz w:val="18"/>
              </w:rPr>
              <w:t xml:space="preserve">U(0.01, 0.08)</w:t>
            </w:r>
          </w:p>
        </w:tc>
      </w:tr>
      <w:tr>
        <w:tc>
          <w:p>
            <w:pPr>
              <w:jc w:val="center"/>
            </w:pPr>
            <w:r>
              <w:rPr>
                <w:sz w:val="18"/>
              </w:rPr>
              <w:t xml:space="preserve">Neural delay</w:t>
            </w:r>
          </w:p>
        </w:tc>
        <w:tc>
          <w:p>
            <w:pPr>
              <w:jc w:val="center"/>
            </w:pPr>
            <w:r>
              <w:rPr>
                <w:sz w:val="18"/>
              </w:rPr>
              <w:t xml:space="preserve">delta</w:t>
            </w:r>
          </w:p>
        </w:tc>
        <w:tc>
          <w:p>
            <w:pPr>
              <w:jc w:val="center"/>
            </w:pPr>
            <w:r>
              <w:rPr>
                <w:sz w:val="18"/>
              </w:rPr>
              <w:t xml:space="preserve">0-3 frames (0-375 ms)</w:t>
            </w:r>
          </w:p>
        </w:tc>
      </w:tr>
    </w:tbl>
    <w:p w14:paraId="3AA543CD" w14:textId="77777777" w:rsidR="00FE726F" w:rsidRDefault="00403576">
      <w:pPr>
        <w:spacing w:before="120" w:after="60"/>
      </w:pPr>
      <w:r>
        <w:rPr>
          <w:b/>
          <w:i/>
        </w:rPr>
        <w:t>B. Dual-Stream Encoder with Forward Dynamics Head</w:t>
      </w:r>
    </w:p>
    <w:p>
      <w:pPr>
        <w:jc w:val="both"/>
      </w:pPr>
      <w:r>
        <w:rPr>
          <w:sz w:val="24"/>
          <w:szCs w:val="24"/>
        </w:rPr>
        <w:t xml:space="preserve">The patient's intended movement cannot be directly inferred from a single frame. In addition, the observed hand motion may be affected by sensing noise, motor delay, tremor-like perturbations, and slow response. Therefore, using only instantaneous position inputs may not be sufficient for the policy to distinguish purposeful movement from short-term disturbances. To address this problem, we design a dual-stream encoder with an auxiliary prediction task, as shown in Fig. X.</w:t>
      </w:r>
    </w:p>
    <w:p>
      <w:pPr>
        <w:jc w:val="both"/>
      </w:pPr>
      <w:r>
        <w:rPr>
          <w:sz w:val="24"/>
          <w:szCs w:val="24"/>
        </w:rPr>
        <w:t xml:space="preserve">At each timestep, the 44-dimensional observation vector is divided into a 12-dimensional scalar vector and a 32-dimensional temporal buffer:</w:t>
      </w:r>
    </w:p>
    <w:p>
      <w:pPr>
        <w:jc w:val="both"/>
      </w:pPr>
      <w:r>
        <w:rPr>
          <w:sz w:val="24"/>
          <w:szCs w:val="24"/>
        </w:rPr>
        <w:t xml:space="preserve">o_t = [s_t ; h_{t-T:t}].</w:t>
      </w:r>
    </w:p>
    <w:p>
      <w:pPr>
        <w:jc w:val="both"/>
      </w:pPr>
      <w:r>
        <w:rPr>
          <w:sz w:val="24"/>
          <w:szCs w:val="24"/>
        </w:rPr>
        <w:t xml:space="preserve">The scalar vector is defined as:</w:t>
      </w:r>
    </w:p>
    <w:p>
      <w:pPr>
        <w:jc w:val="both"/>
      </w:pPr>
      <w:r>
        <w:rPr>
          <w:sz w:val="24"/>
          <w:szCs w:val="24"/>
        </w:rPr>
        <w:t xml:space="preserve">s_t = [p_R; p_H; d(R,H); b_N, b_S, b_E, b_W; stride; a_{t-1}],</w:t>
      </w:r>
    </w:p>
    <w:p>
      <w:pPr>
        <w:jc w:val="both"/>
      </w:pPr>
      <w:r>
        <w:rPr>
          <w:sz w:val="24"/>
          <w:szCs w:val="24"/>
        </w:rPr>
        <w:t xml:space="preserve">where p_R and p_H denote the two-dimensional positions of the microrobot and the hand, respectively; d(R,H) is their Euclidean distance; b_N, b_S, b_E, and b_W are the signed distances to the workspace boundaries; stride is the current movement step size; and a_{t-1} is the previous robot action. These variables describe the current geometric state of the interaction, including relative position, boundary distance, and recent action information.</w:t>
      </w:r>
    </w:p>
    <w:p>
      <w:pPr>
        <w:jc w:val="both"/>
      </w:pPr>
      <w:r>
        <w:rPr>
          <w:sz w:val="24"/>
          <w:szCs w:val="24"/>
        </w:rPr>
        <w:t xml:space="preserve">The temporal buffer h_{t-T:t} contains the T = 16 most recent relative hand displacement vectors, forming a 32-dimensional sequence. This buffer captures recent velocity, acceleration, and repeated movement patterns that cannot be obtained from the current position alone. The scalar vector is processed by an MLP to extract the current geometric information. In parallel, the temporal buffer is processed by a two-layer LSTM. Since the LSTM uses relative displacements rather than absolute positions, it focuses on movement direction, speed, acceleration, and oscillation. The outputs of the two streams are then concatenated and passed through a fusion MLP to produce a shared representation for policy and value prediction.</w:t>
      </w:r>
    </w:p>
    <w:p>
      <w:pPr>
        <w:jc w:val="both"/>
      </w:pPr>
      <w:r>
        <w:rPr>
          <w:sz w:val="24"/>
          <w:szCs w:val="24"/>
        </w:rPr>
        <w:t xml:space="preserve">Although the ZPD-based reward provides a continuous training signal, it does not directly teach the encoder how to represent patient motion. Learning this representation only through policy reward can be slow and unstable. To provide a more direct signal, we attach a forward dynamics head to the fused representation. This head predicts the patient's next-frame relative displacement. Since the true displacement is available at the next timestep, this target can be obtained without extra data collection or manual annotation. The auxiliary loss is defined as:</w:t>
      </w:r>
    </w:p>
    <w:p>
      <w:pPr>
        <w:jc w:val="both"/>
      </w:pPr>
      <w:r>
        <w:rPr>
          <w:sz w:val="24"/>
          <w:szCs w:val="24"/>
        </w:rPr>
        <w:t xml:space="preserve">L_aux = E[||d_hat_{t+1} - d_{t+1}||_2^2],</w:t>
      </w:r>
    </w:p>
    <w:p>
      <w:pPr>
        <w:jc w:val="both"/>
      </w:pPr>
      <w:r>
        <w:rPr>
          <w:sz w:val="24"/>
          <w:szCs w:val="24"/>
        </w:rPr>
        <w:t xml:space="preserve">where d_hat_{t+1} is the predicted next displacement and d_{t+1} is the observed displacement. The full training objective combines the PPO loss with the value loss, entropy regularization, and the auxiliary prediction loss:</w:t>
      </w:r>
    </w:p>
    <w:p>
      <w:pPr>
        <w:jc w:val="both"/>
      </w:pPr>
      <w:r>
        <w:rPr>
          <w:sz w:val="24"/>
          <w:szCs w:val="24"/>
        </w:rPr>
        <w:t xml:space="preserve">L_total = L_policy + c_v L_value + c_e L_entropy + lambda L_aux,</w:t>
      </w:r>
    </w:p>
    <w:p>
      <w:pPr>
        <w:jc w:val="both"/>
      </w:pPr>
      <w:r>
        <w:rPr>
          <w:sz w:val="24"/>
          <w:szCs w:val="24"/>
        </w:rPr>
        <w:t xml:space="preserve">where lambda controls the weight of the auxiliary loss. Because the forward dynamics head shares the encoder with the policy, its gradients also update the spatial and temporal streams. This encourages the encoder to capture patient inertia, delay, and interaction dynamics, helping the robot policy anticipate near-future hand motion instead of reacting only to the current hand-microrobot distance.</w:t>
      </w:r>
    </w:p>
    <w:p w14:paraId="19E39EAC" w14:textId="77777777" w:rsidR="00FE726F" w:rsidRDefault="00403576">
      <w:pPr>
        <w:spacing w:before="120" w:after="60"/>
      </w:pPr>
      <w:r>
        <w:rPr>
          <w:b/>
          <w:i/>
        </w:rPr>
        <w:t>C. League Training</w:t>
      </w:r>
    </w:p>
    <w:p>
      <w:pPr>
        <w:jc w:val="both"/>
      </w:pPr>
      <w:r>
        <w:rPr>
          <w:sz w:val="24"/>
          <w:szCs w:val="24"/>
        </w:rPr>
        <w:t xml:space="preserve">A natural baseline is to train the robot and hand policies at the same time. However, simultaneous training in a two-agent game creates a non-stationary learning problem. The return of each agent depends on the policy of the other agent. When both policies are updated together, each update changes the environment faced by the other policy, which conflicts with the stationarity assumption of PPO. In practice, this can lead to cyclic adaptation: the robot learns to exploit the current hand policy, the hand then adapts to the robot, and the robot may forget strategies that were useful against earlier hand behaviors. To avoid this issue, we freeze one side of the interaction while training the other. During robot training, the hand policies are fixed and treated as part of the environment. During hand training, the robot policy is fixed. This alternating procedure provides a more stable learning objective than updating both policies simultaneously.</w:t>
      </w:r>
    </w:p>
    <w:p>
      <w:pPr>
        <w:jc w:val="both"/>
      </w:pPr>
      <w:r>
        <w:rPr>
          <w:sz w:val="24"/>
          <w:szCs w:val="24"/>
        </w:rPr>
        <w:t xml:space="preserve">Our goal is different from purely competitive games. In rehabilitation, the robot should not simply learn to defeat the hand. Instead, it should maintain an appropriate level of challenge for patients with different movement abilities. A single hand policy cannot represent this range of behavior. We therefore maintain an opponent pool P that stores hand policies from different training stages. These hand policies provide a diverse set of pursuit behaviors for training the robot.</w:t>
      </w:r>
    </w:p>
    <w:p>
      <w:pPr>
        <w:jc w:val="both"/>
      </w:pPr>
      <w:r>
        <w:rPr>
          <w:sz w:val="24"/>
          <w:szCs w:val="24"/>
        </w:rPr>
        <w:t xml:space="preserve">As summarized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pPr>
        <w:jc w:val="both"/>
      </w:pPr>
      <w:r>
        <w:rPr>
          <w:sz w:val="24"/>
          <w:szCs w:val="24"/>
        </w:rPr>
        <w:t xml:space="preserve">Algorithm 1: Iterative League Training</w:t>
      </w:r>
    </w:p>
    <w:p>
      <w:pPr>
        <w:jc w:val="both"/>
      </w:pPr>
      <w:r>
        <w:rPr>
          <w:sz w:val="24"/>
          <w:szCs w:val="24"/>
        </w:rPr>
        <w:t xml:space="preserve">Initialize: opponent pool P &lt;- {pi_H^script}, robot policy pi_R^(0)</w:t>
      </w:r>
    </w:p>
    <w:p>
      <w:pPr>
        <w:jc w:val="both"/>
      </w:pPr>
      <w:r>
        <w:rPr>
          <w:sz w:val="24"/>
          <w:szCs w:val="24"/>
        </w:rPr>
        <w:t xml:space="preserve">for n = 1, 2, ..., N do</w:t>
      </w:r>
    </w:p>
    <w:p>
      <w:pPr>
        <w:jc w:val="both"/>
      </w:pPr>
      <w:r>
        <w:rPr>
          <w:sz w:val="24"/>
          <w:szCs w:val="24"/>
        </w:rPr>
        <w:t xml:space="preserve">    // Robot phase (pool frozen)</w:t>
      </w:r>
    </w:p>
    <w:p>
      <w:pPr>
        <w:jc w:val="both"/>
      </w:pPr>
      <w:r>
        <w:rPr>
          <w:sz w:val="24"/>
          <w:szCs w:val="24"/>
        </w:rPr>
        <w:t xml:space="preserve">    Train pi_R^(n) via PPO against opponents sampled</w:t>
      </w:r>
    </w:p>
    <w:p>
      <w:pPr>
        <w:jc w:val="both"/>
      </w:pPr>
      <w:r>
        <w:rPr>
          <w:sz w:val="24"/>
          <w:szCs w:val="24"/>
        </w:rPr>
        <w:t xml:space="preserve">    from P using prioritized distribution P(i)</w:t>
      </w:r>
    </w:p>
    <w:p>
      <w:pPr>
        <w:jc w:val="both"/>
      </w:pPr>
      <w:r>
        <w:rPr>
          <w:sz w:val="24"/>
          <w:szCs w:val="24"/>
        </w:rPr>
        <w:t xml:space="preserve">    // Hand phase (robot frozen)</w:t>
      </w:r>
    </w:p>
    <w:p>
      <w:pPr>
        <w:jc w:val="both"/>
      </w:pPr>
      <w:r>
        <w:rPr>
          <w:sz w:val="24"/>
          <w:szCs w:val="24"/>
        </w:rPr>
        <w:t xml:space="preserve">    Warm-start pi_H^(n) from pi_H^(n-1), fine-tune</w:t>
      </w:r>
    </w:p>
    <w:p>
      <w:pPr>
        <w:jc w:val="both"/>
      </w:pPr>
      <w:r>
        <w:rPr>
          <w:sz w:val="24"/>
          <w:szCs w:val="24"/>
        </w:rPr>
        <w:t xml:space="preserve">    against frozen pi_R^(n)</w:t>
      </w:r>
    </w:p>
    <w:p>
      <w:pPr>
        <w:jc w:val="both"/>
      </w:pPr>
      <w:r>
        <w:rPr>
          <w:sz w:val="24"/>
          <w:szCs w:val="24"/>
        </w:rPr>
        <w:t xml:space="preserve">    P &lt;- P union {pi_H^(n)}</w:t>
      </w:r>
    </w:p>
    <w:p>
      <w:pPr>
        <w:jc w:val="both"/>
      </w:pPr>
      <w:r>
        <w:rPr>
          <w:sz w:val="24"/>
          <w:szCs w:val="24"/>
        </w:rPr>
        <w:t xml:space="preserve">end for</w:t>
      </w:r>
    </w:p>
    <w:p>
      <w:pPr>
        <w:jc w:val="both"/>
      </w:pPr>
      <w:r>
        <w:rPr>
          <w:sz w:val="24"/>
          <w:szCs w:val="24"/>
        </w:rPr>
        <w:t xml:space="preserve">Uniformly sampling from the opponent pool is inefficient. Weak hand policies provide little learning signal because the robot can maintain the desired distance too easily. Very strong hand policies may lead to mostly failed episodes, which also provide limited useful feedback. The most useful hand policies are those that are challenging but not impossible for the current robot policy. To focus training on these useful opponents, we track the robot's average normalized episode length against each hand policy and sample opponents using a length-prioritized distribution:</w:t>
      </w:r>
    </w:p>
    <w:p>
      <w:pPr>
        <w:jc w:val="both"/>
      </w:pPr>
      <w:r>
        <w:rPr>
          <w:sz w:val="24"/>
          <w:szCs w:val="24"/>
        </w:rPr>
        <w:t xml:space="preserve">P(i) propto f(w_i),  f(w) = 1 / (1 + exp(-k * (eta - |w - 0.5|)))</w:t>
      </w:r>
    </w:p>
    <w:p>
      <w:pPr>
        <w:jc w:val="both"/>
      </w:pPr>
      <w:r>
        <w:rPr>
          <w:sz w:val="24"/>
          <w:szCs w:val="24"/>
        </w:rPr>
        <w:t xml:space="preserve">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the robot is trained more often against opponents that match its current ability, without manually specifying a difficulty schedule.</w:t>
      </w:r>
    </w:p>
    <w:p>
      <w:pPr>
        <w:jc w:val="both"/>
      </w:pPr>
      <w:r>
        <w:rPr>
          <w:sz w:val="24"/>
          <w:szCs w:val="24"/>
        </w:rPr>
        <w:t xml:space="preserve">One possible risk of league training is that the robot may learn to exploit artificial patterns in the simulated hand policies. Such behavior would reduce the relevance of the learned policy for real rehabilitation. To reduce this risk, a fixed probability p_s is always assigned to the heuristic scripted hand policy. This ensures that the robot remains exposed to simple, noisy pursuit behavior, which is closer to the behavior expected from real patients.</w:t>
      </w:r>
    </w:p>
    <w:p>
      <w:pPr>
        <w:spacing w:before="240" w:after="120"/>
        <w:jc w:val="center"/>
      </w:pPr>
      <w:r>
        <w:rPr>
          <w:b/>
        </w:rPr>
        <w:t>VI. EXPERIMENTS AND RESULTS</w:t>
      </w:r>
    </w:p>
    <w:p>
      <w:pPr>
        <w:spacing w:before="0" w:after="0" w:line="240" w:lineRule="auto"/>
        <w:ind w:firstLine="288"/>
        <w:jc w:val="both"/>
      </w:pPr>
      <w:r>
        <w:rPr>
          <w:rFonts w:ascii="Times New Roman" w:hAnsi="Times New Roman" w:eastAsia="Times New Roman"/>
          <w:b w:val="0"/>
          <w:i w:val="0"/>
          <w:sz w:val="24"/>
        </w:rPr>
        <w:t>We validate the framework through three studies. The first isolates the contribution of temporal memory and the auxiliary head via an ablation on network architecture. The second tests zero-shot generalization against out-of-distribution opponents. The third presents real-world deployment results on the physical UR10 platform.</w:t>
      </w:r>
    </w:p>
    <w:p>
      <w:pPr>
        <w:spacing w:before="120" w:after="60"/>
      </w:pPr>
      <w:r>
        <w:rPr>
          <w:b/>
          <w:i/>
        </w:rPr>
        <w:t>A. Network Architecture Ablation</w:t>
      </w:r>
    </w:p>
    <w:p>
      <w:pPr>
        <w:spacing w:before="0" w:after="0" w:line="240" w:lineRule="auto"/>
        <w:ind w:firstLine="288"/>
        <w:jc w:val="both"/>
      </w:pPr>
      <w:r>
        <w:rPr>
          <w:rFonts w:ascii="Times New Roman" w:hAnsi="Times New Roman" w:eastAsia="Times New Roman"/>
          <w:b w:val="0"/>
          <w:i w:val="0"/>
          <w:sz w:val="24"/>
        </w:rPr>
        <w:t>We compare three feature extractor variants under the same PPO protocol (learning rate 1e-4, batch size 512, 8 parallel environments, 8M timesteps). MLP-Only uses only the 12 scalar features through a two-layer MLP, ignoring the displacement history. MLP+LSTM adds a 2-layer LSTM for the 16-frame displacement buffer. MLP+LSTM+Aux further adds the forward dynamics head, providing dense self-supervised gradients through the shared encoder.</w:t>
      </w:r>
    </w:p>
    <w:p>
      <w:pPr>
        <w:spacing w:before="0" w:after="0" w:line="240" w:lineRule="auto"/>
        <w:ind w:firstLine="288"/>
        <w:jc w:val="both"/>
      </w:pPr>
      <w:r>
        <w:rPr>
          <w:rFonts w:ascii="Times New Roman" w:hAnsi="Times New Roman" w:eastAsia="Times New Roman"/>
          <w:b w:val="0"/>
          <w:i w:val="0"/>
          <w:sz w:val="24"/>
        </w:rPr>
        <w:t>Fig. X shows the episode reward and episode length curves. MLP-Only converges fast but to a low level, confirming that instantaneous positions alone are insufficient for effective evasion. Without temporal context the policy cannot anticipate patient motion and resorts to reactive, jerky strategies. Both LSTM variants converge more slowly but reach much higher final performance. MLP+LSTM+Aux attains a similar convergence speed as MLP+LSTM but higher asymptotic reward and longer episodes, because the auxiliary loss provides dense gradients that help the encoder learn patient dynamics without extra environment interactions.</w:t>
      </w:r>
    </w:p>
    <w:p>
      <w:pPr>
        <w:spacing w:before="120" w:after="60"/>
      </w:pPr>
      <w:r>
        <w:rPr>
          <w:b w:val="0"/>
          <w:i w:val="0"/>
          <w:sz w:val="24"/>
        </w:rPr>
        <w:t>The ablation above tests architectures against opponents from the same training distribution. A deeper question is whether the iterative league curriculum itself is necessary. We compare three training approaches against four out-of-distribution tests that target the two failure modes of non-iterative training: catastrophic forgetting and overfitting. Baseline A trains against scripted heuristic hands only. Baseline B trains against a single strong RL hand. Ours uses the full league training protocol with prioritized pool sampling (Section IV-C). Each test uses 50 episodes of 100 steps, and all test hands obey the same biomechanical constraints as training opponents.</w:t>
      </w:r>
    </w:p>
    <w:p>
      <w:pPr>
        <w:spacing w:before="0" w:after="0" w:line="240" w:lineRule="auto"/>
        <w:ind w:firstLine="288"/>
        <w:jc w:val="both"/>
      </w:pPr>
      <w:r>
        <w:rPr>
          <w:rFonts w:ascii="Times New Roman" w:hAnsi="Times New Roman" w:eastAsia="Times New Roman"/>
          <w:b w:val="0"/>
          <w:i w:val="0"/>
          <w:sz w:val="24"/>
        </w:rPr>
        <w:t>The four test protocols are as follows. The Sluggish test uses a uniform-pace scripted opponent with fixed stride and random direction perturbation, representing a patient with severely limited motor capacity. The Spasm test simulates spastic episodes, alternating between a 4-second slow phase and a 1-second fast phase, testing adaptation to abrupt velocity changes. The Unseen RL test deploys a hand model from three generations beyond the robot training horizon, a genuinely novel adversarial agent that tests generalization outside the training distribution. The Human Mouse test has a human operator control the hand directly via mouse, bypassing all biomechanical constraints. Human players use unpredictable strategies including feints and sudden reversals, serving as the ultimate stress test for zero-shot generalization.</w:t>
      </w:r>
    </w:p>
    <w:p>
      <w:pPr>
        <w:spacing w:before="120" w:after="60"/>
        <w:jc w:val="center"/>
      </w:pPr>
      <w:r>
        <w:rPr>
          <w:b/>
          <w:sz w:val="20"/>
        </w:rPr>
        <w:t>TABLE III: ZERO-SHOT OOD GENERALIZATION RESULTS</w:t>
      </w:r>
    </w:p>
    <w:tbl>
      <w:tblPr>
        <w:tblStyle w:val="TableGrid"/>
        <w:tblW w:type="pct" w:w="5000"/>
        <w:jc w:val="center"/>
      </w:tblPr>
      <w:tblGrid>
        <w:gridCol/>
        <w:gridCol/>
        <w:gridCol/>
        <w:gridCol/>
        <w:gridCol/>
      </w:tblGrid>
      <w:tr>
        <w:tc>
          <w:p>
            <w:pPr>
              <w:jc w:val="center"/>
            </w:pPr>
            <w:r>
              <w:rPr>
                <w:b/>
                <w:sz w:val="18"/>
                <w:szCs w:val="18"/>
              </w:rPr>
              <w:t xml:space="preserve">Protocol</w:t>
            </w:r>
          </w:p>
        </w:tc>
        <w:tc>
          <w:p>
            <w:pPr>
              <w:jc w:val="center"/>
            </w:pPr>
            <w:r>
              <w:rPr>
                <w:b/>
                <w:sz w:val="18"/>
                <w:szCs w:val="18"/>
              </w:rPr>
              <w:t xml:space="preserve">Metric</w:t>
            </w:r>
          </w:p>
        </w:tc>
        <w:tc>
          <w:p>
            <w:pPr>
              <w:jc w:val="center"/>
            </w:pPr>
            <w:r>
              <w:rPr>
                <w:b/>
                <w:sz w:val="18"/>
                <w:szCs w:val="18"/>
              </w:rPr>
              <w:t xml:space="preserve">Baseline A
(Scripted Only)</w:t>
            </w:r>
          </w:p>
        </w:tc>
        <w:tc>
          <w:p>
            <w:pPr>
              <w:jc w:val="center"/>
            </w:pPr>
            <w:r>
              <w:rPr>
                <w:b/>
                <w:sz w:val="18"/>
                <w:szCs w:val="18"/>
              </w:rPr>
              <w:t xml:space="preserve">Baseline B
(Single RL)</w:t>
            </w:r>
          </w:p>
        </w:tc>
        <w:tc>
          <w:p>
            <w:pPr>
              <w:jc w:val="center"/>
            </w:pPr>
            <w:r>
              <w:rPr>
                <w:b/>
                <w:sz w:val="18"/>
                <w:szCs w:val="18"/>
              </w:rPr>
              <w:t xml:space="preserve">Ours
(League)</w:t>
            </w:r>
          </w:p>
        </w:tc>
      </w:tr>
      <w:tr>
        <w:tc>
          <w:p>
            <w:pPr>
              <w:jc w:val="center"/>
            </w:pPr>
            <w:r>
              <w:rPr>
                <w:sz w:val="18"/>
                <w:szCs w:val="18"/>
              </w:rPr>
              <w:t xml:space="preserve">Sluggish</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Spasm</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Unseen RL</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tc>
          <w:tcPr>
            <w:shd w:val="clear" w:color="auto" w:fill="D9E2F3"/>
          </w:tcPr>
          <w:p>
            <w:pPr>
              <w:jc w:val="center"/>
            </w:pPr>
            <w:r>
              <w:rPr>
                <w:b/>
                <w:sz w:val="20"/>
              </w:rPr>
              <w:t>Approach</w:t>
            </w:r>
          </w:p>
        </w:tc>
        <w:tc>
          <w:tcPr>
            <w:shd w:val="clear" w:color="auto" w:fill="D9E2F3"/>
          </w:tcPr>
          <w:p>
            <w:pPr>
              <w:jc w:val="center"/>
            </w:pPr>
            <w:r>
              <w:rPr>
                <w:b/>
                <w:sz w:val="20"/>
              </w:rPr>
              <w:t>Sluggish</w:t>
            </w:r>
          </w:p>
        </w:tc>
        <w:tc>
          <w:tcPr>
            <w:shd w:val="clear" w:color="auto" w:fill="D9E2F3"/>
          </w:tcPr>
          <w:p>
            <w:pPr>
              <w:jc w:val="center"/>
            </w:pPr>
            <w:r>
              <w:rPr>
                <w:b/>
                <w:sz w:val="20"/>
              </w:rPr>
              <w:t>Spasm</w:t>
            </w:r>
          </w:p>
        </w:tc>
        <w:tc>
          <w:tcPr>
            <w:shd w:val="clear" w:color="auto" w:fill="D9E2F3"/>
          </w:tcPr>
          <w:p>
            <w:pPr>
              <w:jc w:val="center"/>
            </w:pPr>
            <w:r>
              <w:rPr>
                <w:b/>
                <w:sz w:val="20"/>
              </w:rPr>
              <w:t>Unseen RL</w:t>
            </w:r>
          </w:p>
        </w:tc>
        <w:tc>
          <w:tcPr>
            <w:shd w:val="clear" w:color="auto" w:fill="D9E2F3"/>
          </w:tcPr>
          <w:p>
            <w:pPr>
              <w:jc w:val="center"/>
            </w:pPr>
            <w:r>
              <w:rPr>
                <w:b/>
                <w:sz w:val="20"/>
              </w:rPr>
              <w:t>Human</w:t>
            </w:r>
          </w:p>
        </w:tc>
      </w:tr>
      <w:tr>
        <w:tc>
          <w:p>
            <w:r>
              <w:rPr>
                <w:sz w:val="20"/>
              </w:rPr>
              <w:t>Baseline A</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Baseline B</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Ours</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bl>
    <w:p>
      <w:pPr>
        <w:spacing w:before="0" w:after="0" w:line="240" w:lineRule="auto"/>
        <w:ind w:firstLine="288"/>
        <w:jc w:val="both"/>
      </w:pPr>
      <w:r>
        <w:rPr>
          <w:rFonts w:ascii="Times New Roman" w:hAnsi="Times New Roman" w:eastAsia="Times New Roman"/>
          <w:b w:val="0"/>
          <w:i w:val="0"/>
          <w:sz w:val="24"/>
        </w:rPr>
        <w:t>Table III shows that both baselines fail on at least one test, while the league-trained robot maintains consistent performance across all four. Baseline A handles predictable movements well but collapses against spastic transitions and the strategic unseen RL hand. Baseline B shows the opposite pattern: its specialization against a single strong opponent produces an aggressive policy that overshoots against slow targets. Ours benefits from the diverse opponent pool spanning the full behavioral spectrum, combined with prioritized sampling that focuses training at the capability frontier.</w:t>
      </w:r>
    </w:p>
    <w:p>
      <w:pPr>
        <w:spacing w:before="120" w:after="60"/>
      </w:pPr>
      <w:r>
        <w:rPr>
          <w:b/>
          <w:i/>
        </w:rPr>
        <w:t>C. Sim-to-Real Transfer</w:t>
      </w:r>
    </w:p>
    <w:p>
      <w:pPr>
        <w:spacing w:before="0" w:after="0" w:line="240" w:lineRule="auto"/>
        <w:ind w:firstLine="288"/>
        <w:jc w:val="both"/>
      </w:pPr>
      <w:r>
        <w:rPr>
          <w:rFonts w:ascii="Times New Roman" w:hAnsi="Times New Roman" w:eastAsia="Times New Roman"/>
          <w:b w:val="0"/>
          <w:i w:val="0"/>
          <w:sz w:val="24"/>
        </w:rPr>
        <w:t>This section shows that the trained policy transfers zero-shot to the physical UR10 without task-specific fine-tuning. Two architectural decisions bridge the sim-to-real gap. The first is observation alignment. In simulation the 44-dimensional observation is computed from the environment state. On the physical platform, the robot position comes from the UR10's RTDE interface, while the hand position is extracted from an overhead camera via YOLO (microrobot detection) and MediaPipe (hand detection). A pre-computed homography matrix maps pixel coordinates to the same normalized frame used in training, so the policy receives observations with identical structure regardless of sensor modality.</w:t>
      </w:r>
    </w:p>
    <w:p>
      <w:pPr>
        <w:spacing w:before="0" w:after="0" w:line="240" w:lineRule="auto"/>
        <w:ind w:firstLine="288"/>
        <w:jc w:val="both"/>
      </w:pPr>
      <w:r>
        <w:rPr>
          <w:rFonts w:ascii="Times New Roman" w:hAnsi="Times New Roman" w:eastAsia="Times New Roman"/>
          <w:b w:val="0"/>
          <w:i w:val="0"/>
          <w:sz w:val="24"/>
        </w:rPr>
        <w:t>The second decision is temporal decoupling.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so perception never blocks. The control thread runs at 20 Hz and attempts a non-blocking read each cycle. If a new frame is available the hand position is updated; otherwise the system falls back to dead reckoning using a low-pass filtered velocity estimate from recent vision updates.</w:t>
      </w:r>
    </w:p>
    <w:p>
      <w:pPr>
        <w:spacing w:before="0" w:after="0" w:line="240" w:lineRule="auto"/>
        <w:ind w:firstLine="288"/>
        <w:jc w:val="both"/>
      </w:pPr>
      <w:r>
        <w:rPr>
          <w:rFonts w:ascii="Times New Roman" w:hAnsi="Times New Roman" w:eastAsia="Times New Roman"/>
          <w:b w:val="0"/>
          <w:i w:val="0"/>
          <w:sz w:val="24"/>
        </w:rPr>
        <w:t>The 44-dimensional observation is assembled from the estimated hand position, the robot position via RTDE, and the displacement 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