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rPr>
          <w:b/>
          <w:i/>
        </w:rPr>
        <w:t>Abstract—</w:t>
      </w:r>
      <w:r>
        <w:t xml:space="preserve"> Adaptive rehabilitation requires a controller that keeps an exercise challenging without making it unattainable as user behavior changes. This paper presents an end-to-end reinforcement learning framework for a tabletop upper-limb pursuit task in which a UR10 robot drives an unpowered magnetic microrobot beneath an acrylic workspace and a participant attempts to catch it. The controller regulates the hand-microrobot distance around a platform-specific Zone of Proximal Development band. The framework combines decoupled randomization of pursuit intent and motor execution, a dual-stream encoder for current geometry and recent motion, self-supervised prediction of future hand displacement, and iterative league training with prioritized opponent sampling. In a ten-generation league without opponent identity, mean Time in Zone across learned hands increased from 0.188 for the initial robot to 0.282 for the final robot, while worst-hand Time in Zone increased from 0.138 to 0.204. In a separate representation ablation, the auxiliary GRU increased Time in Zone from 0.160 to 0.259 and reduced mean jerk from 0.165 to 0.127 relative to the feed-forward baseline. The final league policy also avoided the condition-specific collapse observed under scripted-only and single-opponent training. Nine zero-shot physical rollouts demonstrated online execution through the camera-to-robot loop and recovery toward the target band after transient changes in hand speed. These results show that behavior diversity and temporal motion encoding provide complementary mechanisms for robust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Upper-limb function is central to self-care, work, and independent participation in daily life. Stroke and other neurological injuries can impair strength, coordination, and voluntary control, creating a need for sustained motor rehabilitation. Rehabilitation practice commonly emphasizes intensive repetition, task-oriented movement, and active participation because users must repeatedly generate, evaluate, and correct purposeful actions. Training volume alone is not sufficient. Tasks that are too easy provide limited stimulus for adaptation, whereas tasks that are consistently unattainable can reduce engagement and the quality of practice. Effective upper-limb rehabilitation should therefore remain repetitive and active while maintaining a level of challenge that is demanding but achievable. However, delivering intensive training at an appropriate difficulty remains difficult in practice.</w:t>
      </w:r>
    </w:p>
    <w:p>
      <w:pPr>
        <w:ind w:firstLine="400"/>
        <w:jc w:val="both"/>
      </w:pPr>
      <w:r>
        <w:t>Upper-limb training is delivered through several complementary approaches. Therapist-led task practice provides direct observation, manual guidance, and individualized progression. Traditional rehabilitation devices and tabletop exercises offer simple and accessible ways to repeat reaching, tracking, or coordination tasks. Contact-based rehabilitation robots, including exoskeleton and end-effector systems, can deliver repeatable motion, regulate assistance or resistance, and record quantitative interaction data. Virtual reality, motion-capture games, and screen-based tasks broaden the range of scenarios and can make repetitive practice more engaging. Each approach therefore supports a different aspect of rehabilitation, from clinical personalization to repeatability, measurement, and task variety. Despite their respective advantages, these approaches involve trade-offs among personalization, physical interaction, system complexity, and training accessibility.</w:t>
      </w:r>
    </w:p>
    <w:p>
      <w:pPr>
        <w:ind w:firstLine="400"/>
        <w:jc w:val="both"/>
      </w:pPr>
      <w:r>
        <w:t>These trade-offs leave room for a rehabilitation interface that preserves an active physical task while reducing user-side instrumentation. Therapist-led training depends on therapist availability and is difficult to provide continuously. Traditional devices often provide limited online adaptation or quantitative feedback. Contact-based robots may require wearing, grasping, strapping, or mechanical coupling, which adds setup complexity and constrains physical interaction. Fully virtual tasks are flexible but do not provide a directly visible and catchable physical target. The proposed magnetic tabletop system addresses this gap by using a robotic arm beneath the workspace to drive an unpowered microrobot above an acrylic surface. The participant actively pursues a visible physical target while remaining physically separated from the powered actuator. Overhead vision estimates the hand and microrobot states for closed-loop control, and software can reconfigure target motion and interaction difficulty without changing the user-side hardware. This arrangement combines noncontact actuation, minimal user-side instrumentation, hardware simplicity, and task flexibility. However, creating a noncontact pursuit task alone does not guarantee that the interaction remains appropriate for users with different movement capabilities.</w:t>
      </w:r>
    </w:p>
    <w:p>
      <w:pPr>
        <w:ind w:firstLine="400"/>
        <w:jc w:val="both"/>
      </w:pPr>
      <w:r>
        <w:t>Personalization on this platform is a continuous control problem. The microrobot should not escape at a speed that makes repeated success impossible, but it should not move so slowly or predictably that the task loses its challenge. Appropriate target motion depends on the hand’s speed, direction, response delay, and pursuit strategy, and these characteristics can change during an interaction. Fixed speeds and predetermined trajectories cannot respond to this variability. Reactive controllers based mainly on instantaneous distance also require manually selected thresholds and rules, while similar geometric states can demand different actions when recent motion trends differ. Their single-step responses do not explicitly optimize how a current action will affect difficulty over subsequent steps. Reinforcement learning is well suited to this setting because it can learn a state-to-action policy through interaction and optimize a cumulative objective over time. Related applications in robot control, human-robot interaction, and rehabilitation robotics further support its use for adaptive task or assistance regulation. Its effectiveness, however, depends on whether training covers sufficiently diverse hand behaviors and whether the policy can infer motion trends from recent observations.</w:t>
      </w:r>
    </w:p>
    <w:p>
      <w:pPr>
        <w:ind w:firstLine="400"/>
        <w:jc w:val="both"/>
      </w:pPr>
      <w:r>
        <w:t>This paper proposes an adaptive control framework for the magnetic tabletop pursuit task that combines diverse virtual hand generation, temporal state representation, and iterative league training. Strategy–execution decoupled randomization first generates intended pursuit motion from a scripted or learned hand policy and then applies an independent execution layer with inertia, bounded motion changes, observation noise, and delay. A dual-stream encoder processes the current geometric state with a spatial branch and recent relative hand displacement with a gated recurrent unit. An auxiliary head predicts short-horizon hand motion and provides an additional learning signal for the temporal representation. Iterative league training alternates optimization of the robot and hand policies, retains historical hand policies in a shared pool, and prioritizes opponents that remain difficult for the current robot. Simulation experiments evaluate robustness across hand policies, while ablations isolate the effects of temporal encoding and auxiliary prediction. Physical deployment evaluates the vision, policy inference, and magnetic actuation loop without additional training. The findings are interpreted in terms of adaptive difficulty regulation, robustness across pursuit behaviors, online responsiveness, and physical feasibility rather than clinical effectiveness or motor recovery.</w:t>
      </w:r>
    </w:p>
    <w:p>
      <w:pPr>
        <w:ind w:firstLine="400"/>
        <w:jc w:val="both"/>
      </w:pPr>
      <w:r>
        <w:t>The remainder of this paper is organized as follows. Section II describes the magnetic rehabilitation platform and formulates the adaptive pursuit problem. Section III presents strategy–execution randomization, the dual-stream architecture with auxiliary prediction, and iterative league training. Section IV reports the simulation evaluation and zero-shot physical deployment, Section V discusses the findings and translational scope,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The simulation and deployment results show that robust difficulty regulation depends on both the information available within an interaction and the diversity of behavior encountered across interactions. Temporal encoding reduces ambiguity in recent hand motion, while league training broadens the population of pursuit strategies used for policy optimization. These mechanisms address different failure modes and are most useful when considered together.</w:t>
      </w:r>
    </w:p>
    <w:p>
      <w:pPr>
        <w:pStyle w:val="21"/>
      </w:pPr>
      <w:r>
        <w:t>A. Complementary Effects of Temporal Encoding and League Training</w:t>
      </w:r>
    </w:p>
    <w:p>
      <w:pPr>
        <w:ind w:firstLine="400"/>
        <w:jc w:val="both"/>
      </w:pPr>
      <w:r>
        <w:t>The gated recurrent unit reduces uncertainty within an episode by summarizing recent hand motion, whereas the opponent pool expands the distribution of pursuit behaviors across episodes. Similar current positions can arise during direct pursuit, interception, delayed response, or recovery from a noisy observation. The recurrent stream provides context for these cases. League training addresses a separate weakness because a policy can still overfit even when it represents one opponent accurately. Retaining earlier hand policies forces the robot to preserve useful responses as new pursuit strategies enter the pool.</w:t>
      </w:r>
    </w:p>
    <w:p>
      <w:pPr>
        <w:ind w:firstLine="400"/>
        <w:jc w:val="both"/>
      </w:pPr>
      <w:r>
        <w:t>Cross-generation performance contains local fluctuations, which is expected in an iterative two-agent process and does not imply that every robot generation is uniformly stronger than its predecessor. The final generation nevertheless achieves the highest mean and worst-hand Time in Zone across the fixed learned-hand test set. The comparison across representative pursuit conditions provides a separate robustness check. The SPC-only and single-opponent policies each perform best near their training condition, whereas the league policy remains effective under scripted, H1, and manual pursuit. The main effect of the league is therefore broader population-level robustness rather than monotonic improvement against every individual hand.</w:t>
      </w:r>
    </w:p>
    <w:p>
      <w:pPr>
        <w:pStyle w:val="21"/>
      </w:pPr>
      <w:r>
        <w:t>B. Role of Auxiliary Dynamics Prediction</w:t>
      </w:r>
    </w:p>
    <w:p>
      <w:pPr>
        <w:ind w:firstLine="400"/>
        <w:jc w:val="both"/>
      </w:pPr>
      <w:r>
        <w:t>Temporal history provides the larger architectural gain over the feed-forward baseline, and auxiliary future prediction adds a complementary constraint on the shared encoder. The auxiliary trajectory examples follow the short-horizon direction of observed hand motion rather than reproducing only the current position. The final evaluation also improves Time in Zone and workspace coverage while reducing mean jerk relative to the multilayer perceptron baseline. The auxiliary head therefore supplies both dense supervision and an interpretable diagnostic of the temporal representation. Control performance remains the primary criterion for selecting a policy because low prediction error alone does not guarantee effective difficulty regulation.</w:t>
      </w:r>
    </w:p>
    <w:p>
      <w:pPr>
        <w:pStyle w:val="21"/>
      </w:pPr>
      <w:r>
        <w:t>C. Translational Scope and Future Work</w:t>
      </w:r>
    </w:p>
    <w:p>
      <w:pPr>
        <w:ind w:firstLine="400"/>
        <w:jc w:val="both"/>
      </w:pPr>
      <w:r>
        <w:t>The physical experiment demonstrates transfer of the complete feedback loop rather than offline inference alone. Camera measurements, calibrated workspace features, temporal history, policy inference, and magnetic actuation operate online with the same task semantics used in simulation. Transient departures from the target band occur when hand speed changes abruptly, but the representative rollout shows corresponding changes in microrobot speed and subsequent recovery toward the band. The experiment establishes the feasibility of zero-shot deployment under real sensing, communication, and actuation delays.</w:t>
      </w:r>
    </w:p>
    <w:p>
      <w:pPr>
        <w:ind w:firstLine="400"/>
        <w:jc w:val="both"/>
      </w:pPr>
      <w:r>
        <w:t>The present evidence does not establish clinical efficacy. The physical dataset contains nine rollouts from one healthy pilot, and the manual mouse condition represents voluntary pursuit rather than impaired hand biomechanics. The motor execution layer uses simplified inertia, displacement, noise, and delay models rather than parameters identified from a patient cohort. The fixed target band was calibrated for the desktop platform and should be individualized before clinical use.</w:t>
      </w:r>
    </w:p>
    <w:p>
      <w:pPr>
        <w:ind w:firstLine="400"/>
        <w:jc w:val="both"/>
      </w:pPr>
      <w:r>
        <w:t>Future work should estimate user-specific motor parameters from recorded trajectories, adapt the target band to session goals and fatigue, and evaluate the controller across repeated physical sessions. Comparisons with conventional reactive and assistance-as-needed controllers would clarify which gains arise from long-horizon optimization. Larger datasets should also quantify recovery time after disturbances, tracking dropouts, workspace safety, and between-user variability. Evaluation with patient participants will be required to determine whether the adaptive pursuit task improves engagement or motor outcomes.</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