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both"/>
      </w:pPr>
      <w:r>
        <w:rPr>
          <w:b/>
          <w:i/>
        </w:rPr>
        <w:t>Abstract—</w:t>
      </w:r>
      <w:r>
        <w:t xml:space="preserve"> Adaptive rehabilitation requires a controller that keeps an exercise challenging without making it unattainable as user behavior changes. This paper presents an end-to-end reinforcement learning framework for a tabletop upper-limb pursuit task in which a UR10 robot drives an unpowered magnetic microrobot beneath an acrylic workspace and a participant attempts to catch it. The controller regulates the hand-microrobot distance around a platform-specific Zone of Proximal Development band. The framework combines decoupled randomization of pursuit intent and motor execution, a dual-stream encoder for current geometry and recent motion, self-supervised prediction of future hand displacement, and iterative league training with prioritized opponent sampling. In a ten-generation league without opponent identity, mean Time in Zone across learned hands increased from 0.188 for the initial robot to 0.282 for the final robot, while worst-hand Time in Zone increased from 0.138 to 0.204. In a separate representation ablation, the auxiliary GRU increased Time in Zone from 0.160 to 0.259 and reduced mean jerk from 0.165 to 0.127 relative to the feed-forward baseline. The final league policy also avoided the condition-specific collapse observed under scripted-only and single-opponent training. Nine zero-shot physical rollouts demonstrated online execution through the camera-to-robot loop and recovery toward the target band after transient changes in hand speed. These results show that behavior diversity and temporal motion encoding provide complementary mechanisms for robust adaptive difficulty regulation.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[1], [2]. Repetitive, task-oriented practice is widely adopted to drive motor relearning, because it encourages users to actively generate movements, evaluate outcomes, and make continuous corrections [3]–[5].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[6], [7].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[8]–[13]. Virtual reality systems, motion-capture games, and screen-based exercises further expand training scenarios by adding visual feedback, scoring, and game-like progression [14]–[16]. Together, these approaches address a wide range of rehabilitation needs, from personalized clinical guidance to intensive repetition, objective assessment, and task variety.</w:t>
      </w:r>
    </w:p>
    <w:p>
      <w:pPr>
        <w:ind w:firstLine="400"/>
        <w:jc w:val="both"/>
      </w:pPr>
      <w:r>
        <w:t>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[17]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[18]–[20]. This design keeps direct physical interaction while reducing the equipment worn by the user and enabling programmable, adaptive training.</w:t>
      </w:r>
    </w:p>
    <w:p>
      <w:pPr>
        <w:ind w:firstLine="400"/>
        <w:jc w:val="both"/>
      </w:pPr>
      <w:r>
        <w:t>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[21], [22]. Achieving this requires continuous adjustment to changes in hand speed, movement direction, reaction delay, and pursuit strategy. Fixed paths and preset speeds cannot handle such variation [23]–[25].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[26]. RL has proven effective in robotic manipulation, locomotion, human-robot interaction, and adaptive rehabilitation control [27]–[32].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beneath the workspace, and a permanent magnet is mounted on its end effector to drive the microrobot above [18]–[20].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The Zone of Proximal Development (ZPD) is defined operationally as a target range for the distance between the hand and microrobot [21], [22].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t>Classical artificial potential field and rule-based reactive controllers provide intuitive solutions for regulating the motion of a target relative to a pursuer [33], [34].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[28] is summarized as</w:t>
      </w:r>
    </w:p>
    <w:p w14:paraId="4C5FB8EE" w14:textId="77777777" w:rsidR="003F4541" w:rsidRDefault="00522F3F">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Equation (1)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To improve robustness to diverse hand behaviors, we apply domain randomization to both pursuit strategy and motor execution [35]–[39].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w:t>
      </w:r>
    </w:p>
    <w:p w14:paraId="54837308" w14:textId="77777777" w:rsidR="003F4541" w:rsidRDefault="00522F3F">
      <w:pPr>
        <w:pStyle w:val="DisplayEquation"/>
        <w:spacing w:before="60" w:after="60"/>
        <w:jc w:val="center"/>
      </w:pPr>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The change from the preceding executed displacement is then limited by its Euclidean norm,</w:t>
      </w:r>
    </w:p>
    <w:p w14:paraId="3ABA85F4" w14:textId="2197EA4B" w:rsidR="003F4541" w:rsidRDefault="00522F3F">
      <w:pPr>
        <w:pStyle w:val="DisplayEquation"/>
        <w:spacing w:before="60" w:after="60"/>
        <w:jc w:val="center"/>
      </w:pPr>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 xml:space="preserve">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w:t>
      </w:r>
      <w:proofErr w:type="spellStart"/>
      <w:r>
        <w:t>position.</w:t>
      </w:r>
      <w:proofErr w:type="spellEnd"/>
    </w:p>
    <w:p w14:paraId="5D2772B7" w14:textId="77777777" w:rsidR="003F4541" w:rsidRDefault="00522F3F">
      <w:pPr>
        <w:pStyle w:val="DisplayEquation"/>
        <w:spacing w:before="60" w:after="60"/>
        <w:jc w:val="center"/>
      </w:pPr>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Equation (5) applies the executed displacement to the hand position. Delay and observation noise are introduced separately by the motor execution layer. Under a constant intended displacement, the filtered and executed increments converge to a constant value rather than decaying toward zero.</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smoothing coefficient</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inter-step displacement change</w:t>
            </w:r>
          </w:p>
        </w:tc>
        <w:tc>
          <w:tcPr>
            <w:tcW w:w="3408" w:type="dxa"/>
            <w:vAlign w:val="center"/>
          </w:tcPr>
          <w:p w14:paraId="43F91444" w14:textId="77777777" w:rsidR="003F4541" w:rsidRDefault="00593922">
            <w:pPr>
              <w:jc w:val="center"/>
            </w:pPr>
            <w:r>
              <w:rPr>
                <w:sz w:val="17"/>
              </w:rPr>
              <w:t>c_max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Uniform 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 dimensions, as shown in (6).</w:t>
      </w:r>
    </w:p>
    <w:p w14:paraId="7728EC98" w14:textId="77777777" w:rsidR="003F4541" w:rsidRDefault="00522F3F">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522F3F">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The scalar vector and temporal buffer are encoded in separate streams, as shown in Fig. 2. A multilayer perceptron (MLP) extracts geometric information from the scalar state, while a gated recurrent unit (GRU) processes the displacement sequence [40].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supervises the encoder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The trajectory prediction loss is given in (8).</w:t>
      </w:r>
    </w:p>
    <w:p w14:paraId="56EECD55" w14:textId="77777777" w:rsidR="003F4541" w:rsidRDefault="00522F3F">
      <w:pPr>
        <w:pStyle w:val="DisplayEquation"/>
        <w:spacing w:before="60" w:after="60"/>
        <w:jc w:val="center"/>
      </w:pPr>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Here, D_hat_{t+1:t+H} is the predicted future displacement sequence, and D_{t+1:t+H} is the observed future displacement sequence. The full training objective combines the PPO loss with the auxiliary trajectory prediction loss in (9).</w:t>
      </w:r>
    </w:p>
    <w:p w14:paraId="422B1088" w14:textId="77777777" w:rsidR="003F4541" w:rsidRDefault="00522F3F">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rsidRPr="00F772BD">
        <w:t>The coefficient</w:t>
      </w:r>
      <w:r w:rsidR="00187A1D">
        <w:t xml:space="preserve"> </w:t>
      </w:r>
      <w:proofErr w:type="spellStart"/>
      <w:r w:rsidR="00593922">
        <w:t>lambda_traj</w:t>
      </w:r>
      <w:proofErr w:type="spellEnd"/>
      <w:r w:rsidR="00593922">
        <w:t xml:space="preserve">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 [44].</w:t>
      </w:r>
    </w:p>
    <w:p w14:paraId="323FBF4C" w14:textId="77777777" w:rsidR="003F4541" w:rsidRDefault="00593922">
      <w:pPr>
        <w:ind w:firstLine="288"/>
        <w:jc w:val="both"/>
      </w:pPr>
      <w:r>
        <w:t>The training schedule separates the two sides of learning and retains older hand behaviors in a shared pool [45], [46].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[47].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Table II extends the cross-generation analysis in Fig. 3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YOLOv12-based microrobot detection [48], [49], MediaPipe Hands tracking [50], camera calibration, and a planar homography that mapped image coordinates to the workspace [51].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r>
        <w:t xml:space="preserve">Fig. 5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r>
      <w:r>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microrobot platform. (a) Representative frames from one of nine physical rollouts.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[52].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 [40]–[43].</w:t>
      </w:r>
    </w:p>
    <w:p>
      <w:pPr>
        <w:ind w:firstLine="400"/>
        <w:jc w:val="both"/>
      </w:pPr>
      <w:r>
        <w:t>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 [44]–[47].</w:t>
      </w:r>
    </w:p>
    <w:p>
      <w:pPr>
        <w:ind w:firstLine="400"/>
        <w:jc w:val="both"/>
      </w:pPr>
      <w:r>
        <w:t>Moving the policy from simulation onto the UR10 platform brought in measurement noise, brief losses of tracking, communication delay, actuator dynamics, calibration error, and uncertainty in the magnetic drive [35]–[39].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Nine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The target ZPD band was also chosen for the current desktop platform and kept the same across simulation and deployment for consistency. How suitable it is likely depends on reachable workspace, movement speed, response delay, fatigue, and the goal of a particular session.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itself was limited to nine rollouts from one healthy pilot participant. Manual mouse pursuit brought in voluntary human decisions and reaction time, but it did not reproduce impaired hand biomechanics or the full uncertainty that comes with tracking a hand visually. No study across repeated sessions, patient evaluation, or physical comparison against controllers that move at a fixed speed or react only to distance was carried out. Claims about engagement, motor learning, functional recovery, and clinical benefit therefore remain outside the scope of the current results [2], [7], [11], [15], [16].</w:t>
      </w:r>
    </w:p>
    <w:p>
      <w:pPr>
        <w:ind w:firstLine="400"/>
        <w:jc w:val="both"/>
      </w:pPr>
      <w:r>
        <w:t>The next step is to test the controller under broader and more controlled physical conditions. Studies with more healthy participants across repeated sessions should compare policies that move at a fixed speed, that react to distance alone, that are trained against a single opponent, and that are trained through the league, all under matched tasks.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r>
        <w:rPr>
          <w:rFonts w:ascii="Times New Roman" w:hAnsi="Times New Roman"/>
          <w:sz w:val="16"/>
        </w:rPr>
        <w:t>[50] F. Zhang et al., “MediaPipe Hands: On-device real-time hand tracking,” arXiv:2006.10214, 2020.</w:t>
      </w:r>
    </w:p>
    <w:p>
      <w:pPr>
        <w:spacing w:before="0" w:after="0" w:line="240" w:lineRule="auto"/>
        <w:ind w:left="360" w:hanging="360"/>
        <w:jc w:val="both"/>
      </w:pPr>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